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Veness Adam 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Dianthus Therapeutics, Inc. /DE/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DNTH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720" w:type="dxa"/>
            <w:vAlign w:val="bottom"/>
            <w:tcBorders>
              <w:top w:val="single" w:sz="8" w:color="0000EE"/>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DIANTHUS THERAPEUTICS,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 TIMES SQUARE, 43RD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0000FF"/>
        </w:rPr>
        <w:t>SVP, General Counsel and Sec.</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06/17/2026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17.88</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06/17/2026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16,771</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80.34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13,229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06/17/2026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13,229</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81.38</w:t>
            </w:r>
            <w:r>
              <w:rPr>
                <w:rFonts w:ascii="Times New Roman" w:cs="Times New Roman" w:eastAsia="Times New Roman" w:hAnsi="Times New Roman"/>
                <w:sz w:val="21"/>
                <w:szCs w:val="21"/>
                <w:color w:val="008000"/>
                <w:w w:val="93"/>
                <w:vertAlign w:val="superscript"/>
              </w:rPr>
              <w:t>(3)</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17.88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6"/>
                <w:szCs w:val="16"/>
                <w:color w:val="auto"/>
              </w:rPr>
            </w:pPr>
          </w:p>
        </w:tc>
        <w:tc>
          <w:tcPr>
            <w:tcW w:w="62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01/23/2034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w w:val="94"/>
              </w:rPr>
              <w:t>80,000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pursuant to a Rule 10b5-1 trading plan adopted by the Reporting Person on March 18, 2026.</w:t>
      </w:r>
    </w:p>
    <w:p>
      <w:pPr>
        <w:spacing w:after="0" w:line="43"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$80.00 to $80.99, inclusive. The Reporting Person undertakes to provide to the Issuer, any security holder of the Issuer, or the staff of the SEC,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$81.00 to $81.80, inclusive. The Reporting Person undertakes to provide to the Issuer, any security holder of the Issuer, or the staff of the SEC,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vest in equal monthly installments over the four years after January 1, 2024, subject to the Reporting Person's continued service to the Issuer on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Adam Veness</w:t>
            </w:r>
          </w:p>
        </w:tc>
        <w:tc>
          <w:tcPr>
            <w:tcW w:w="10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8623" TargetMode="External"/><Relationship Id="rId14"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2026-06-18T15:49:09Z</dcterms:created>
  <dcterms:modified xsi:type="dcterms:W3CDTF">2026-06-18T15:49:09Z</dcterms:modified>
</cp:coreProperties>
</file>