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March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DIANTHUS THERAPEUTICS, INC.</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0" w:type="dxa"/>
        <w:tblCellMar>
          <w:top w:w="0" w:type="dxa"/>
          <w:left w:w="0" w:type="dxa"/>
          <w:bottom w:w="0" w:type="dxa"/>
          <w:right w:w="0" w:type="dxa"/>
        </w:tblCellMar>
      </w:tblPr>
      <w:tr>
        <w:trPr>
          <w:trHeight w:val="19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001-38541</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81-0724163</w:t>
            </w:r>
          </w:p>
        </w:tc>
      </w:tr>
      <w:tr>
        <w:trPr>
          <w:trHeight w:val="130"/>
        </w:trPr>
        <w:tc>
          <w:tcPr>
            <w:tcW w:w="2840" w:type="dxa"/>
            <w:vAlign w:val="bottom"/>
          </w:tcPr>
          <w:p>
            <w:pPr>
              <w:jc w:val="center"/>
              <w:ind w:right="770"/>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9"/>
              </w:rPr>
              <w:t>7 Times Square</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9"/>
        </w:trPr>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6"/>
                <w:szCs w:val="16"/>
                <w:b w:val="1"/>
                <w:bCs w:val="1"/>
                <w:color w:val="auto"/>
                <w:w w:val="98"/>
              </w:rPr>
              <w:t>43rd Floor</w:t>
            </w:r>
          </w:p>
        </w:tc>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10036</w:t>
            </w:r>
          </w:p>
        </w:tc>
      </w:tr>
      <w:tr>
        <w:trPr>
          <w:trHeight w:val="155"/>
        </w:trPr>
        <w:tc>
          <w:tcPr>
            <w:tcW w:w="2840" w:type="dxa"/>
            <w:vAlign w:val="bottom"/>
          </w:tcPr>
          <w:p>
            <w:pPr>
              <w:jc w:val="center"/>
              <w:ind w:right="75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 xml:space="preserve">Registrant’s Telephone Number, Including Area Code: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929) 999-4055</w:t>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1020" w:hanging="458"/>
        <w:spacing w:after="0"/>
        <w:tabs>
          <w:tab w:leader="none" w:pos="10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1020" w:hanging="458"/>
        <w:spacing w:after="0"/>
        <w:tabs>
          <w:tab w:leader="none" w:pos="10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1020" w:hanging="458"/>
        <w:spacing w:after="0"/>
        <w:tabs>
          <w:tab w:leader="none" w:pos="10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1020" w:hanging="458"/>
        <w:spacing w:after="0"/>
        <w:tabs>
          <w:tab w:leader="none" w:pos="10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rFonts w:ascii="MS PGothic" w:cs="MS PGothic" w:eastAsia="MS PGothic" w:hAnsi="MS PGothic"/>
          <w:sz w:val="16"/>
          <w:szCs w:val="16"/>
          <w:color w:val="auto"/>
        </w:rPr>
      </w:pPr>
    </w:p>
    <w:p>
      <w:pPr>
        <w:ind w:left="37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$0.001 Par Value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DNTH</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Capital Market</w:t>
            </w:r>
          </w:p>
        </w:tc>
      </w:tr>
    </w:tbl>
    <w:p>
      <w:pPr>
        <w:spacing w:after="0" w:line="155" w:lineRule="exact"/>
        <w:rPr>
          <w:sz w:val="24"/>
          <w:szCs w:val="24"/>
          <w:color w:val="auto"/>
        </w:rPr>
      </w:pPr>
    </w:p>
    <w:p>
      <w:pPr>
        <w:ind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0"/>
          </w:cols>
          <w:pgMar w:left="320" w:top="1079" w:right="319" w:bottom="1440" w:gutter="0" w:footer="0" w:header="0"/>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Item 8.01</w:t>
      </w:r>
      <w:r>
        <w:rPr>
          <w:sz w:val="20"/>
          <w:szCs w:val="20"/>
          <w:color w:val="auto"/>
        </w:rPr>
        <w:tab/>
      </w:r>
      <w:r>
        <w:rPr>
          <w:rFonts w:ascii="Times New Roman" w:cs="Times New Roman" w:eastAsia="Times New Roman" w:hAnsi="Times New Roman"/>
          <w:sz w:val="15"/>
          <w:szCs w:val="15"/>
          <w:b w:val="1"/>
          <w:bCs w:val="1"/>
          <w:color w:val="auto"/>
        </w:rPr>
        <w:t>Other Events.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March 26, 2026, Dianthus Therapeutics, Inc. (the "Company") posted an updated corporate presentation (the "Presentation") on the investor relations section of its website.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Presentation is filed as Exhibit 99.1 and is incorporated by reference into this Item 8.01.</w:t>
      </w:r>
    </w:p>
    <w:p>
      <w:pPr>
        <w:spacing w:after="0" w:line="177"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5"/>
          <w:szCs w:val="15"/>
          <w:color w:val="auto"/>
        </w:rPr>
        <w:t>In addition, in the first quarter of 2026, the Company proposed to the Food &amp; Drug Administration ("FDA") the following changes to screening criteria and required routine labs, and the description of the hypothetical autoimmune safety risk across claseprubart clinical trials, based on patient experience to date and scientific consensus from published data:</w:t>
      </w:r>
    </w:p>
    <w:p>
      <w:pPr>
        <w:spacing w:after="0" w:line="63" w:lineRule="exact"/>
        <w:rPr>
          <w:sz w:val="20"/>
          <w:szCs w:val="20"/>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Removal of anti-nuclear antibodies ("ANAs") as a screening criteria, a common reason for screen failure across all three claseprubart programs;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Removal of routine ANA testing during claseprubart clinical trials; and</w:t>
      </w:r>
    </w:p>
    <w:p>
      <w:pPr>
        <w:spacing w:after="0" w:line="99" w:lineRule="exact"/>
        <w:rPr>
          <w:rFonts w:ascii="Times New Roman" w:cs="Times New Roman" w:eastAsia="Times New Roman" w:hAnsi="Times New Roman"/>
          <w:sz w:val="16"/>
          <w:szCs w:val="16"/>
          <w:color w:val="auto"/>
        </w:rPr>
      </w:pPr>
    </w:p>
    <w:p>
      <w:pPr>
        <w:ind w:left="1020" w:right="200" w:hanging="516"/>
        <w:spacing w:after="0" w:line="276" w:lineRule="auto"/>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Reclassification of the hypothetical risk of systemic lupus erythematosus ("SLE") to drug-induced lupus ("DIL"), a side effect in several classes of widely used medications characterized by the reversal of symptoms upon discontinuation of the precipitating medication.</w:t>
      </w:r>
    </w:p>
    <w:p>
      <w:pPr>
        <w:spacing w:after="0" w:line="145"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6"/>
          <w:szCs w:val="16"/>
          <w:color w:val="auto"/>
        </w:rPr>
        <w:t>In March 2026, the Company received written feedback from FDA agreeing to all three of these proposals for all ongoing and planned future claseprubart trials. Of note there have been no cases of either SLE or DIL to date in any claseprubart program.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104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8"/>
        </w:trPr>
        <w:tc>
          <w:tcPr>
            <w:tcW w:w="7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No.</w:t>
            </w:r>
          </w:p>
        </w:tc>
        <w:tc>
          <w:tcPr>
            <w:tcW w:w="120" w:type="dxa"/>
            <w:vAlign w:val="bottom"/>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2600" w:type="dxa"/>
            <w:vAlign w:val="bottom"/>
          </w:tcPr>
          <w:p>
            <w:pPr>
              <w:spacing w:after="0"/>
              <w:rPr>
                <w:sz w:val="18"/>
                <w:szCs w:val="18"/>
                <w:color w:val="auto"/>
              </w:rPr>
            </w:pPr>
          </w:p>
        </w:tc>
      </w:tr>
      <w:tr>
        <w:trPr>
          <w:trHeight w:val="335"/>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24"/>
                <w:szCs w:val="24"/>
                <w:color w:val="auto"/>
              </w:rPr>
            </w:pPr>
          </w:p>
        </w:tc>
        <w:tc>
          <w:tcPr>
            <w:tcW w:w="4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8"/>
              </w:rPr>
              <w:t>Corporate Presentation of Dianthus Therapeutics, Inc., dated March 2026</w:t>
            </w:r>
          </w:p>
        </w:tc>
        <w:tc>
          <w:tcPr>
            <w:tcW w:w="20" w:type="dxa"/>
            <w:vAlign w:val="bottom"/>
            <w:tcBorders>
              <w:bottom w:val="single" w:sz="8" w:color="0000EE"/>
            </w:tcBorders>
          </w:tcPr>
          <w:p>
            <w:pPr>
              <w:spacing w:after="0"/>
              <w:rPr>
                <w:sz w:val="24"/>
                <w:szCs w:val="24"/>
                <w:color w:val="auto"/>
              </w:rPr>
            </w:pPr>
          </w:p>
        </w:tc>
        <w:tc>
          <w:tcPr>
            <w:tcW w:w="5760" w:type="dxa"/>
            <w:vAlign w:val="bottom"/>
            <w:gridSpan w:val="2"/>
          </w:tcPr>
          <w:p>
            <w:pPr>
              <w:spacing w:after="0"/>
              <w:rPr>
                <w:sz w:val="24"/>
                <w:szCs w:val="24"/>
                <w:color w:val="auto"/>
              </w:rPr>
            </w:pPr>
          </w:p>
        </w:tc>
      </w:tr>
      <w:tr>
        <w:trPr>
          <w:trHeight w:val="205"/>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104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54"/>
        </w:trPr>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DIANTHUS THERAPEUTICS, INC.</w:t>
      </w:r>
    </w:p>
    <w:p>
      <w:pPr>
        <w:spacing w:after="0" w:line="327"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March 26,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Adam M. Veness,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Adam M. Veness, Esq.</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SVP,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878"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2026-03-26T07:04:18Z</dcterms:created>
  <dcterms:modified xsi:type="dcterms:W3CDTF">2026-03-26T07:04:18Z</dcterms:modified>
</cp:coreProperties>
</file>