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21, 2023</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333-274863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PRE-EFFECTIVE AMENDMENT No. 1</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TO</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S-3</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ON FORM S-1</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Dianthus Therapeutics,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900" w:type="dxa"/>
            <w:vAlign w:val="bottom"/>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60" w:type="dxa"/>
            <w:vAlign w:val="bottom"/>
          </w:tcPr>
          <w:p>
            <w:pPr>
              <w:jc w:val="center"/>
              <w:ind w:left="1968"/>
              <w:spacing w:after="0"/>
              <w:rPr>
                <w:sz w:val="20"/>
                <w:szCs w:val="20"/>
                <w:color w:val="auto"/>
              </w:rPr>
            </w:pPr>
            <w:r>
              <w:rPr>
                <w:rFonts w:ascii="Times New Roman" w:cs="Times New Roman" w:eastAsia="Times New Roman" w:hAnsi="Times New Roman"/>
                <w:sz w:val="14"/>
                <w:szCs w:val="14"/>
                <w:b w:val="1"/>
                <w:bCs w:val="1"/>
                <w:color w:val="auto"/>
              </w:rPr>
              <w:t>81-00724163</w:t>
            </w:r>
          </w:p>
        </w:tc>
      </w:tr>
      <w:tr>
        <w:trPr>
          <w:trHeight w:val="148"/>
        </w:trPr>
        <w:tc>
          <w:tcPr>
            <w:tcW w:w="3900" w:type="dxa"/>
            <w:vAlign w:val="bottom"/>
          </w:tcPr>
          <w:p>
            <w:pPr>
              <w:jc w:val="center"/>
              <w:ind w:right="19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7 Times Square,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43rd Floor,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10036</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(929) 999-4055</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Ryan Savitz</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Dianthus Therapeutics,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7 Times Square,</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43rd Floor,</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10036</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(929) 999-4055</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Ryan A. Murr</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Branden C. Berns</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Chris Trester</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Gibson, Dunn &amp; Crutcher LLP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555 Mission Street, Suite 3000</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San Francisco, California 94105</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(415) 393-8373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 Statement.</w:t>
      </w:r>
    </w:p>
    <w:p>
      <w:pPr>
        <w:spacing w:after="0" w:line="29"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left="120" w:right="1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3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6" w:lineRule="exact"/>
        <w:rPr>
          <w:sz w:val="24"/>
          <w:szCs w:val="24"/>
          <w:color w:val="auto"/>
        </w:rPr>
      </w:pPr>
    </w:p>
    <w:p>
      <w:pPr>
        <w:ind w:left="120" w:right="20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Pursuant to a comment letter received from staff of the Division of Corporation Finance of the Securities and Exchange Commission, Dianthus Therapeutics, Inc. is amending its registration statement on Form S-3 filed on October 4, 2023 (Registration No. 333-274863) to register the offering on Form S-1. This Pre-Effective Amendment No. 1 to Form S-3 on Form S-1 is being filed to convert the registration statement into a registration statement on Form S-1.</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p>
      <w:pPr>
        <w:ind w:left="120" w:right="140"/>
        <w:spacing w:after="0" w:line="243" w:lineRule="auto"/>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FF4338"/>
        </w:rPr>
        <w:t>SUBJECT TO COMPLETION, DATED DECEMBER 21, 2023</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175895</wp:posOffset>
            </wp:positionV>
            <wp:extent cx="228854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85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Dianthus Therapeutics,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5,464,001 Shares</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Offered by the Selling Stockholders</w:t>
      </w:r>
    </w:p>
    <w:p>
      <w:pPr>
        <w:spacing w:after="0" w:line="206" w:lineRule="exact"/>
        <w:rPr>
          <w:sz w:val="20"/>
          <w:szCs w:val="20"/>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14"/>
          <w:szCs w:val="14"/>
          <w:color w:val="auto"/>
        </w:rPr>
        <w:t>Pursuant to this prospectus, the selling stockholders identified herein (the “Selling Stockholders”) are offering (the “Offering”) on a resale basis an aggregate of up to 5,464,001 shares of common stock, par value $0.001 per share (the “Common Stock” and, such shares of Common Stock that are being registered by this prospectus and offered on a resale basis, the “Resale Shares”), of Dianthus Therapeutics, Inc. (formerly Magenta Therapeutics, Inc.), a Delaware corporation (“Dianthus,” “we,” “us,” “our” or the “Company”). The Resale Shares consist of:</w:t>
      </w:r>
    </w:p>
    <w:p>
      <w:pPr>
        <w:spacing w:after="0" w:line="204" w:lineRule="exact"/>
        <w:rPr>
          <w:sz w:val="20"/>
          <w:szCs w:val="20"/>
          <w:color w:val="auto"/>
        </w:rPr>
      </w:pPr>
    </w:p>
    <w:p>
      <w:pPr>
        <w:ind w:left="880" w:right="40" w:hanging="332"/>
        <w:spacing w:after="0" w:line="236" w:lineRule="auto"/>
        <w:tabs>
          <w:tab w:leader="none" w:pos="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2,379,693 shares of Common Stock issued to certain former stockholders of Dianthus Therapeutics OpCo, Inc. (formerly Dianthus Therapeutics, Inc.), a Delaware corporation (“OpCo” or “Former Dianthus”), in exchange for such stockholders’ OpCo common stock in connection with the consummation of the merger of Dio Merger Sub, Inc., a Delaware corporation (“Merger Sub”), with and into OpCo, with OpCo surviving as a wholly owned subsidiary of the Dianthus, which closed on September 11, 2023 (the “Merger”), pursuant to that certain Agreement and Plan of Merger, dated as of May 2, 2023 (the “Merger Agreement”), by and among us, OpCo and Merger Sub;</w:t>
      </w:r>
    </w:p>
    <w:p>
      <w:pPr>
        <w:spacing w:after="0" w:line="203" w:lineRule="exact"/>
        <w:rPr>
          <w:rFonts w:ascii="Times New Roman" w:cs="Times New Roman" w:eastAsia="Times New Roman" w:hAnsi="Times New Roman"/>
          <w:sz w:val="14"/>
          <w:szCs w:val="14"/>
          <w:color w:val="auto"/>
        </w:rPr>
      </w:pPr>
    </w:p>
    <w:p>
      <w:pPr>
        <w:ind w:left="880" w:right="80" w:hanging="332"/>
        <w:spacing w:after="0" w:line="241" w:lineRule="auto"/>
        <w:tabs>
          <w:tab w:leader="none" w:pos="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2,873,988 shares of Common Stock issued to certain former stockholders of OpCo in exchange for such stockholders’ OpCo common stock purchased in the OpCo pre-closing financing (as defined below) pursuant to the Subscription Agreement (as defined below) in connection with the consummation of the Merger pursuant to the Merger Agreement; and</w:t>
      </w:r>
    </w:p>
    <w:p>
      <w:pPr>
        <w:spacing w:after="0" w:line="203" w:lineRule="exact"/>
        <w:rPr>
          <w:rFonts w:ascii="Times New Roman" w:cs="Times New Roman" w:eastAsia="Times New Roman" w:hAnsi="Times New Roman"/>
          <w:sz w:val="14"/>
          <w:szCs w:val="14"/>
          <w:color w:val="auto"/>
        </w:rPr>
      </w:pPr>
    </w:p>
    <w:p>
      <w:pPr>
        <w:ind w:left="880" w:right="300" w:hanging="332"/>
        <w:spacing w:after="0" w:line="241" w:lineRule="auto"/>
        <w:tabs>
          <w:tab w:leader="none" w:pos="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210,320 shares of Common Stock issuable upon the exercise of pre-funded warrants (the “Pre-Funded Warrants”) that were converted from OpCo pre-funded warrants purchased by certain former stockholders of OpCo in the OpCo pre-closing financing pursuant to the Subscription Agreement in connection with the consummation of the Merger pursuant to the Merger Agreement.</w:t>
      </w:r>
    </w:p>
    <w:p>
      <w:pPr>
        <w:spacing w:after="0" w:line="177" w:lineRule="exact"/>
        <w:rPr>
          <w:sz w:val="20"/>
          <w:szCs w:val="20"/>
          <w:color w:val="auto"/>
        </w:rPr>
      </w:pPr>
    </w:p>
    <w:p>
      <w:pPr>
        <w:ind w:left="120" w:right="320" w:firstLine="440"/>
        <w:spacing w:after="0" w:line="241" w:lineRule="auto"/>
        <w:rPr>
          <w:sz w:val="20"/>
          <w:szCs w:val="20"/>
          <w:color w:val="auto"/>
        </w:rPr>
      </w:pPr>
      <w:r>
        <w:rPr>
          <w:rFonts w:ascii="Times New Roman" w:cs="Times New Roman" w:eastAsia="Times New Roman" w:hAnsi="Times New Roman"/>
          <w:sz w:val="14"/>
          <w:szCs w:val="14"/>
          <w:color w:val="auto"/>
        </w:rPr>
        <w:t>We are not offering or selling any Resale Shares under this prospectus, and we will not receive any of the proceeds from the sale of the Resale Shares by the Selling Stockholders pursuant to this prospectus. Upon any exercise of the Pre-Funded Warrants by payment of cash, however, we will receive the nominal cash exercise price paid by the holders of the Pre-Funded Warrants. We intend to use those proceeds, if any, for general corporate purposes.</w:t>
      </w:r>
    </w:p>
    <w:p>
      <w:pPr>
        <w:spacing w:after="0" w:line="177"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4"/>
          <w:szCs w:val="14"/>
          <w:color w:val="auto"/>
        </w:rPr>
        <w:t>Our registration of the securities covered by this prospectus does not mean that the Selling Stockholders will offer or sell any of the Resale Shares. The Selling Stockholders may sell the Resale Shares covered by this prospectus in a number of different ways and at varying prices. We provide more information about how the Selling Stockholders may sell the Resale Shares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Discounts, concessions, commissions and similar selling expenses attributable to the sale of the Resale Shares will be borne by the Selling Stockholder. We will pay certain fees and expenses (other than discounts, concessions, commissions and similar selling expenses) incident to the registration of the Resale Shares with the U.S. Securities and Exchange Commission (“SEC”).</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You should carefully read this prospectus and any applicable prospectus supplement before you invest in any of the securities being offered.</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“DNTH.” On December 19, 2023, the last reported sales price for our Common Stock was $6.92 per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i w:val="1"/>
          <w:iCs w:val="1"/>
          <w:u w:val="single" w:color="auto"/>
          <w:color w:val="0000EE"/>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u w:val="single" w:color="auto"/>
          <w:color w:val="0000EE"/>
        </w:rPr>
        <w:t>Factors</w:t>
      </w:r>
      <w:r>
        <w:rPr>
          <w:rFonts w:ascii="Times New Roman" w:cs="Times New Roman" w:eastAsia="Times New Roman" w:hAnsi="Times New Roman"/>
          <w:sz w:val="18"/>
          <w:szCs w:val="18"/>
          <w:b w:val="1"/>
          <w:bCs w:val="1"/>
          <w:color w:val="000000"/>
        </w:rPr>
        <w:t>” beginning on page 8 of this prospectus and any applicable prospectus supplement.</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We are a “smaller reporting company” as defined by Rule 12b-2 of the Exchange Act and are subject to reduced public company reporting requirements.</w:t>
      </w:r>
    </w:p>
    <w:p>
      <w:pPr>
        <w:spacing w:after="0" w:line="204" w:lineRule="exact"/>
        <w:rPr>
          <w:sz w:val="20"/>
          <w:szCs w:val="20"/>
          <w:color w:val="auto"/>
        </w:rPr>
      </w:pPr>
    </w:p>
    <w:p>
      <w:pPr>
        <w:ind w:left="120" w:right="66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202565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424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The date of this prospectus is</w:t>
      </w:r>
      <w:r>
        <w:rPr>
          <w:sz w:val="20"/>
          <w:szCs w:val="20"/>
          <w:color w:val="auto"/>
        </w:rPr>
        <w:tab/>
      </w:r>
      <w:r>
        <w:rPr>
          <w:rFonts w:ascii="Times New Roman" w:cs="Times New Roman" w:eastAsia="Times New Roman" w:hAnsi="Times New Roman"/>
          <w:sz w:val="14"/>
          <w:szCs w:val="14"/>
          <w:b w:val="1"/>
          <w:bCs w:val="1"/>
          <w:color w:val="auto"/>
        </w:rPr>
        <w:t>, 2023</w:t>
      </w:r>
    </w:p>
    <w:p>
      <w:pPr>
        <w:sectPr>
          <w:pgSz w:w="11900" w:h="16838" w:orient="portrait"/>
          <w:cols w:equalWidth="0" w:num="1">
            <w:col w:w="11100"/>
          </w:cols>
          <w:pgMar w:left="320" w:top="482" w:right="4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STATEMENT CONCERNING FORWARD-LOOKING STATEMENTS</w:t>
            </w:r>
          </w:p>
        </w:tc>
        <w:tc>
          <w:tcPr>
            <w:tcW w:w="41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0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 COMBINATION OF DIANTHUS AND OPCO</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PRIVATE PLACEMENT OF SHARES OF COMMON STOCK AND PRE-FUNDED WARRANTS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39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3300" w:type="dxa"/>
            <w:vAlign w:val="bottom"/>
            <w:tcBorders>
              <w:top w:val="single" w:sz="8" w:color="0000EE"/>
            </w:tcBorders>
            <w:gridSpan w:val="4"/>
          </w:tcPr>
          <w:p>
            <w:pPr>
              <w:spacing w:after="0"/>
              <w:rPr>
                <w:sz w:val="24"/>
                <w:szCs w:val="24"/>
                <w:color w:val="auto"/>
              </w:rPr>
            </w:pPr>
          </w:p>
        </w:tc>
        <w:tc>
          <w:tcPr>
            <w:tcW w:w="33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4"/>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04"/>
        </w:trPr>
        <w:tc>
          <w:tcPr>
            <w:tcW w:w="90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BUSINESS</w:t>
            </w:r>
          </w:p>
        </w:tc>
        <w:tc>
          <w:tcPr>
            <w:tcW w:w="148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9260" w:type="dxa"/>
            <w:vAlign w:val="bottom"/>
            <w:gridSpan w:val="18"/>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4"/>
        </w:trPr>
        <w:tc>
          <w:tcPr>
            <w:tcW w:w="2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812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04"/>
        </w:trPr>
        <w:tc>
          <w:tcPr>
            <w:tcW w:w="102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04"/>
        </w:trPr>
        <w:tc>
          <w:tcPr>
            <w:tcW w:w="54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510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4"/>
        </w:trPr>
        <w:tc>
          <w:tcPr>
            <w:tcW w:w="2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83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1400" w:type="dxa"/>
            <w:vAlign w:val="bottom"/>
            <w:tcBorders>
              <w:top w:val="single" w:sz="8" w:color="0000EE"/>
            </w:tcBorders>
            <w:gridSpan w:val="6"/>
          </w:tcPr>
          <w:p>
            <w:pPr>
              <w:spacing w:after="0"/>
              <w:rPr>
                <w:sz w:val="24"/>
                <w:szCs w:val="24"/>
                <w:color w:val="auto"/>
              </w:rPr>
            </w:pPr>
          </w:p>
        </w:tc>
        <w:tc>
          <w:tcPr>
            <w:tcW w:w="770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04"/>
        </w:trPr>
        <w:tc>
          <w:tcPr>
            <w:tcW w:w="30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tcPr>
          <w:p>
            <w:pPr>
              <w:spacing w:after="0"/>
              <w:rPr>
                <w:sz w:val="24"/>
                <w:szCs w:val="24"/>
                <w:color w:val="auto"/>
              </w:rPr>
            </w:pPr>
          </w:p>
        </w:tc>
        <w:tc>
          <w:tcPr>
            <w:tcW w:w="676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shares the Selling Stockholders may offer. Each time the Selling Stockholders sell our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and any applicable prospectus supplement before making an investment in shares of our Common Stock.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for more information.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estimates and other information concerning our industry, business and the potential markets for our product candidate, including data regarding the estimated size of such markets and the incidence of certain medical conditions. We obtained industry, market and competition data contained in this prospectus from academic and industry publications, research, surveys and studies conducted by third parties. We believe that the third-party data contained in this prospectus is reliable and based on reasonable assumptions. This information, to the extent it contains estimates, involves a number of assumptions and limitations, and you should not place undue reliance on such estimates. The industry in which we operate is subject to risks and uncertainties and are subject to change based on various factors, including those set forth under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These and other factors could cause results to differ materially from those expressed in the estimates contained in this prospectus. See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Statement Concerning Forward-Looking Statements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may contain references to trademarks, trade names or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SM or TM symbols, but such references are not intended to indicate, in any way, that the applicable licensor will not assert, to the fullest extent under applicable law, its rights to these trademarks and trade names. We do not intend our use or display of other companies’ trademarks, trade names or service marks in this prospectus to imply a relationship with, or endorsement or sponsorship of us by, any other companies.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Securities Exchange Act of 1934, as amended (the “Exchange Act”), which statements are subject to substantial risks and uncertainties and are based on estimates and assumptions. All statements, other than statements of historical facts included in this prospectus, including, without limitation, statements concerning our plans, objectives, goals, expectations, hopes, beliefs, intentions or strategies and any underlying assumptions regarding the future, our future results of operations and financial position, including the sufficiency of our existing cash resources to fund our operations for as long as anticipated, our liquidity, capital resources, costs and expenses, capital requirements, commitments and contingencies, the development or commercial potential of DNTH103 or any other product candidates, our anticipated preclinical and clinical drug development activities, in particular with respect to DNTH103, and any timelines, developments or results in connection therewith, the efficacy, safety profile, dosing amount or frequency, method of delivery or other potential therapeutic benefits of DNTH103, the receipt or timing of potential regulatory designations, approvals and commercialization of any product candidates, market size or addressable patient population and other statements contained in this prospectus, including those under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that are not historical fact are forward-looking statements. In some cases, you can identify forward-looking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by terms such as “aim,” “may,” “might,” “will,” “would,” “shall,” “objective,” “intend,” “target,” “should,” “could,” “can,” “expect,” “anticipate,” “believe,” “design,” “estimate,” “forecast,” “predict,” “project,” “potential,” “possible,” “plan,” “seek,” “contemplate,” or “continue” or the negative of these terms and by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There can be no assurance that future events affecting us will be those that have been anticipated. Given the significant uncertainties, you should not place undue reliance on these forward-looking statements.</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There are a number of risks, uncertainties and other factors that could cause our actual results to differ materially from the forward-looking statements expressed or implied in this prospectus. Such risks, uncertainties and other factors include, among others, the following risks, uncertainties and factors:</w:t>
      </w:r>
    </w:p>
    <w:p>
      <w:pPr>
        <w:spacing w:after="0" w:line="81" w:lineRule="exact"/>
        <w:rPr>
          <w:sz w:val="20"/>
          <w:szCs w:val="20"/>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possible failure to realize certain anticipated benefits of the Merger, including with respect to future financial and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completion of the Merger on our business relationships, operating results and business generally;</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strategies, prospects, plans, expectations and objectives of our management for future operations of the Company following the closing of the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manage expenses and unanticipated spending and costs that could reduce our cash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correctly estimate our operating expenses and other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resource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protect our intellectual property rights, in particular those related to our product candidates;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the development of our product candidates or preclinical activities under the timelines we anticipate in planned and future clinical trials;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in later clinical trials positive results found in preclinical studies and early-stage clinical trials of our product candidates;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research and development programs, strategic partnerships, licensing programs or other collaborations;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or developments, and our ability to obtain necessary approvals from the U.S. Food and Drug Administration (the “FDA”) or other regulatory authorities;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 candidates in conformity with the FDA requirements and to scale up manufacturing of our product candidates to commercial scale, if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designs and regulatory pathways;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responses to the Merger and developments and projections relating to our expected or existing competitors or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reactions or changes to business relationships resulting from the completion of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political and economic developments beyond our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changes required in, our officers, key employees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any technology that we may in-license or products we may acquire;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in non-U.S. jurisdictions in which we may choose to do business, including compliance with applicable regulatory requirements and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development and manufacturer organizations to manufacture and supply product candidates;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satisfactory pricing and obtain adequate reimbursement from government and third-party payors of products and product candidates that receive regulatory approvals, if any;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 if approved, and the rate and degree of market acceptance of such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additional financing and raise capital as necessary to fund operations or pursue business opportunities.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may be other factors that may cause our actual results to differ materially from the forward-looking statements expressed or implied in this prospectus, including factors disclosed in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You should evaluate all forward-looking statements made in this prospectus and any prospectus supplement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of these risks and uncertainties.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Past performance is not indicative of future performance.</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apply only as of the date made and are expressly qualified in their entirety by the cautionary statements included in this prospectus. Except as required by law, we disclaim any intent to publicly update or revise any forward-looking statements, whether as a result of new information, future events, changes in assumptions or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1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contained elsewhere in this prospectus. This summary provides an overview of selected information and does not contain all of the information you should consider in making your investment decision. Therefore, you should read the entire prospectus carefully before investing in our securities. You should carefully consider the information set forth under the sections titled “Risk Factors,” “Cautionary Statement Concerning Forward-Looking Statements,” “Management’s Discussion and Analysis of Financial Condition and Results of Operations” and the financial statements and the related notes included elsewhere in this prospectus. Unless context otherwise requires, references herein to “we,” “us,” “our,” “Dianthus” or the “Company” refer to Dianthus Therapeutics, Inc. (formerly Magenta Therapeutics, Inc.) after completion of the Merger, references to “OpCo” or “Former Dianthus” refer to Dianthus Therapeutics OpCo, Inc. (formerly Dianthus Therapeutics, Inc.), and the term “Magenta” refers to the Company prior to completion of the Merger.</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complement therapeutics for patients living with severe autoimmune and inflammatory diseases. We believe our lead novel and proprietary monoclonal antibody product candidate, DNTH103, has the potential to address a broad array of complement-dependent diseases as currently available therapies or those in development leave room for improvements in efficacy, safety, and/or dosing convenience. We have purposefully engineered DNTH103 to selectively bind to only the active form of the C1s complement protein (“C1s”) and to exhibit improved potency and an extended half-life. By selectively targeting only the active form of C1s, which drives disease pathology and constitutes only a small fraction of the total protein present in circulation, we aim to reduce the amount of drug required for a therapeutic effect. We intend to deliver our product candidate through a lower dose, less frequent, self-administered, convenient subcutaneous (“S.C.”) injection suitable for a pre-filled pen.</w:t>
      </w:r>
    </w:p>
    <w:p>
      <w:pPr>
        <w:spacing w:after="0" w:line="19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executive offices are located at 7 Times Square, 43rd Floor, New York, New York 10036, and our telephone number is (929) 999-4055. Our website address is www.dianthustx.com. Information contained on, or accessible through, our website is not incorporated by reference in this prospectus. We make our periodic and current reports available on our website, free of charge, as soon as reasonably practicable after such material is electronically filed with, or furnished to, the SEC. No portion of our website is incorporated by reference into this prospectus. We file our annual, quarterly and special reports, proxy statements and other information with the SEC. Our filings with the SEC are also available to the public on the SEC’s website at http://www.sec.gov. Our Common Stock is traded on The Nasdaq Capital Market under the symbol “DNTH.”</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82" w:right="679" w:bottom="1440" w:gutter="0" w:footer="0" w:header="0"/>
        </w:sectPr>
      </w:pPr>
    </w:p>
    <w:p>
      <w:pPr>
        <w:spacing w:after="0" w:line="256"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Shares of Common Stock to be offered by the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Up to 5,253,681 shares of Common Stock and 210,320 shares of Common Stock issuable upon the exercise of Pre-Funded Warrants.</w:t>
      </w:r>
    </w:p>
    <w:p>
      <w:pPr>
        <w:spacing w:after="0" w:line="200" w:lineRule="exact"/>
        <w:rPr>
          <w:sz w:val="20"/>
          <w:szCs w:val="20"/>
          <w:color w:val="auto"/>
        </w:rPr>
      </w:pPr>
    </w:p>
    <w:p>
      <w:pPr>
        <w:sectPr>
          <w:pgSz w:w="11900" w:h="16838" w:orient="portrait"/>
          <w:cols w:equalWidth="0" w:num="2">
            <w:col w:w="4140" w:space="200"/>
            <w:col w:w="6560"/>
          </w:cols>
          <w:pgMar w:left="320" w:top="482" w:right="67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Terms of the Offering:</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registered under this prospectus for resale.</w:t>
      </w:r>
    </w:p>
    <w:p>
      <w:pPr>
        <w:spacing w:after="0" w:line="189"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 of December 11, 2023, there were 14,817,696 shares of Common Stock outstanding.</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by the Selling Stockholders of the Common Stock. Upon any exercise of the Pre-Funded Warrants by payment of cash, however, we will receive the nominal cash exercise price paid by the holders of the Pre-Funded Warrants. See the section titled “Use of Proceeds” located elsewhere in this prospectus.</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elsewhere in this prospectus for a discussion of the risks, uncertainties and other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“DNTH.” We do not intend to apply for listing of the Pre-Funded Warrants on any securities exchange or nationally recognized trading system.</w:t>
      </w:r>
    </w:p>
    <w:p>
      <w:pPr>
        <w:spacing w:after="0" w:line="176"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jc w:val="center"/>
        <w:ind w:left="440" w:right="80"/>
        <w:spacing w:after="0" w:line="282" w:lineRule="auto"/>
        <w:rPr>
          <w:sz w:val="20"/>
          <w:szCs w:val="20"/>
          <w:color w:val="auto"/>
        </w:rPr>
      </w:pPr>
      <w:r>
        <w:rPr>
          <w:rFonts w:ascii="Times New Roman" w:cs="Times New Roman" w:eastAsia="Times New Roman" w:hAnsi="Times New Roman"/>
          <w:sz w:val="18"/>
          <w:szCs w:val="18"/>
          <w:color w:val="auto"/>
        </w:rPr>
        <w:t>Except as indicated otherwise, all share numbers related to our Common Stock disclosed in this prospectus have been adjusted on a post-reverse split basis.</w:t>
      </w:r>
    </w:p>
    <w:p>
      <w:pPr>
        <w:spacing w:after="0" w:line="16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82"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0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we plan to address with DNTH103 or other product candidates;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DNTH103 and our other programs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DNTH103, and our anticipated clinical trials of such candidate may not be successful;</w:t>
      </w:r>
    </w:p>
    <w:p>
      <w:pPr>
        <w:spacing w:after="0" w:line="67"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 frames we announce and expect, the commercialization of DNTH103 or any other product candidates may be delayed;</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build a pipeline of product candidates with commercial value;</w:t>
      </w:r>
    </w:p>
    <w:p>
      <w:pPr>
        <w:spacing w:after="0" w:line="67" w:lineRule="exact"/>
        <w:rPr>
          <w:rFonts w:ascii="Times New Roman" w:cs="Times New Roman" w:eastAsia="Times New Roman" w:hAnsi="Times New Roman"/>
          <w:sz w:val="18"/>
          <w:szCs w:val="18"/>
          <w:color w:val="auto"/>
        </w:rPr>
      </w:pPr>
    </w:p>
    <w:p>
      <w:pPr>
        <w:jc w:val="both"/>
        <w:ind w:left="1240" w:right="8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85"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future clinical trials, our clinical development activities could be delayed or otherwise adversely affected;</w:t>
      </w:r>
    </w:p>
    <w:p>
      <w:pPr>
        <w:spacing w:after="0" w:line="67" w:lineRule="exact"/>
        <w:rPr>
          <w:rFonts w:ascii="Times New Roman" w:cs="Times New Roman" w:eastAsia="Times New Roman" w:hAnsi="Times New Roman"/>
          <w:sz w:val="18"/>
          <w:szCs w:val="18"/>
          <w:color w:val="auto"/>
        </w:rPr>
      </w:pPr>
    </w:p>
    <w:p>
      <w:pPr>
        <w:ind w:left="1240" w:right="5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collaborations with third parties, including our existing license and development collaboration with Zenas BioPharma Limited (“Zenas BioPharma”). If we are unable to maintain these collaborations, or if these collaborations are not successful, segments of our business could be adversely affected;</w:t>
      </w:r>
    </w:p>
    <w:p>
      <w:pPr>
        <w:spacing w:after="0" w:line="81"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which, if not corrected, could affect the reliability of our financial statements and have other adverse consequences;</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requirements for the chemistry, manufacturing and control of our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for which we intend to seek approval as biologics may face competition sooner than anticipated;</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the market price of our Common Stock may drop, and an active trading market for our Common Stock may not be sustained and our stockholders may not be able to sell their shares of Common Stock for a profit, if at all;</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integrate successfully the businesses of Former Dianthus and Dianthus and realize the anticipated benefits of the Merger;</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82"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61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861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certificate of incorporation and bylaws and under Delaware law could make an acquisition of us more difficult and may discourage any takeover attempts which stockholders may consider favorable, and may lead to entrenchment of management; and</w:t>
      </w:r>
    </w:p>
    <w:p>
      <w:pPr>
        <w:spacing w:after="0" w:line="45" w:lineRule="exact"/>
        <w:rPr>
          <w:rFonts w:ascii="Times New Roman" w:cs="Times New Roman" w:eastAsia="Times New Roman" w:hAnsi="Times New Roman"/>
          <w:sz w:val="17"/>
          <w:szCs w:val="17"/>
          <w:color w:val="auto"/>
        </w:rPr>
      </w:pPr>
    </w:p>
    <w:p>
      <w:pPr>
        <w:ind w:left="1240" w:right="5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and increased demands upon management as a result of complying with the laws and regulations affecting public companies.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Dianthus securities involves a high degree of risk. You should carefully consider the risk factors set forth below, together with all of the other information included in this prospectus, before deciding whether to purchase Dianthus securities. The risks and uncertainties described below are not the only ones Dianthus faces. Additional risks and uncertainties not presently known to Dianthus could adversely affect our business, operating results and financial condition, as well as adversely affect the value of an investment in Dianthus securities, and the occurrence of any of these risks might cause you to lose all or part of your investment. Terms included below that are not defined herein shall have the meanings ascribed to them in Dianthus’ definitive proxy statement/prospectus filed with by the SEC on August 1, 2023.</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limited operating history that has incurred significant operating losses and has utilized substantially all of our resources to conduct research and development activities (including with respect to our DNTH103 program) and undertake preclinical studies of product candidates, conducting a clinical trial of our most advanced product candidate and the manufacturing of the product candidates, business planning, developing and maintaining our intellectual property portfolio, hiring personnel, raising capital, and providing general and administrative support for these activities. We have limited experience as a company in initiating, conducting or completing clinical trials. In part because of this lack of experience, we cannot be certain that our current and planned clinical trials will begin or be completed on time, if at all. In addition, while we are evaluating DNTH103 in an ongoing Phase 1 clinical trial, we have not completed a clinical trial for any product candidate, have no products approved for commercial sale and have not yet demonstrated an ability to successfully complete clinical trials (including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2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Developing biotechnology products is a very long, time-consuming, expensive and uncertain process that takes years to complete. Since inception, Former Dianthus has funded its operations primarily through private financings and has incurred significant recurring losses, including net losses of $33.0 million for the nine months ended September 30, 2023 and $28.5 million and $13.1 million for the years ended December 31, 2022 and 2021, respectively. We expect our expenses to increase in connection with our ongoing activities, particularly as we conduct our ongoing Phase 1 clinical trial of DNTH103, prepare for an investigational new drug application (“IND”), and other regulatory filings, initiate additional clinical trials, and continues to research, develop and conduct preclinical studies of our other potential product candidates. In addition, if we obtain regulatory approval</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any product candidate for commercial sale, including DNTH103,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also incur additional costs associated with operating as a public company that Former Dianthus did not incur as a private company. Accordingly, we will require substantial additional funding to continue our operations. Based on our current operating plan, we believe that our existing cash, cash equivalents and short-term investments should be sufficient to fund our operations into the second quarter of 2026. This estimate is based on assumptions that may prove to be materially wrong, and we could use our available capital resources sooner than we currently expect. Our future capital requirements will depend on many factors, including:</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acceptable safety profile with IND-enabling toxicology studies to enable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larger and later-stage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subject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trials required for regulatory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that participate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and discontinuation rate of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subject participation in the trials and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encounter any serious adverse events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marketing approvals and post-marketing approval commitments from applicable regulatory authorities;</w:t>
      </w:r>
    </w:p>
    <w:p>
      <w:pPr>
        <w:spacing w:after="0" w:line="142"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collaborations, strategic partnerships, or other strategic arrangements with third parties, if any, and the performance of any such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research and development personnel;</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arrangements with our contract development and manufacturing organizations (“CDMOs”), and contract research organizations (“CROs”);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 launch;</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particularly in light of the current COVID-19 pandemic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do not have any committed external sources of funds and adequate additional financing may not be available to us on acceptable terms, or at all. We may be required to seek additional funds sooner than planned through public or private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Our ability to raise additional capital may be adversely impacted by global macroeconomic conditions and volatility in the credit and financial markets in the United States and worldwide, over which we may have no or little control. Our failure to raise capital as and when needed or on acceptable terms would have a negative impact on our financial condition and our ability to pursue our business strategy, and we may have to delay, reduce the scope of, suspend or eliminate clinical trials, product development programs or future commercialization efforts.</w:t>
      </w:r>
    </w:p>
    <w:p>
      <w:pPr>
        <w:spacing w:after="0" w:line="29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expenditures and significant risks that any program will fail to demonstrate adequate efficacy or an acceptable safety profile, gain regulatory approval and become commercially viable. We have no products approved for commercial sale, we have not generated any revenue from product sales to date, and we continue to incur significant research and development, and other expenses related to our ongoing operations. We do not expect to generate product revenue unless or until we successfully complete clinical development and obtains regulatory approval of, and then successfully commercialize, at least one product candidate. We may never succeed in these activities and, even if we do, may never generate product revenue or revenues that are significant or large enough to achieve profitability. If we are unable to generate sufficient revenue through the sale of any approved products, we may be unable to continue operations without additional funding.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significant net losses in each period since inception. Our net loss was $33.0 million for the nine months ended September 30,</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2023 and $28.5 million for the year ended December 31, 2022. We expect to continue to incur significant losses for the foreseeable future. Our operating expenses and net losses may fluctuate significantly from quarter to quarter and year to year. We anticipate that our expenses will increase substantially if and as we:</w:t>
      </w:r>
    </w:p>
    <w:p>
      <w:pPr>
        <w:spacing w:after="0" w:line="9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programs through preclinical and clinical development, including expansion into additional indications;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programs and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marketing approval, either by ourselves or in collaboration with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products for which we receive marketing approval;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product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and technologies;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current good manufacturing practices (“cGMP”), capabilities through a third-party or our own manufacturing facility.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6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become profitable would decrease the value of the company and could impair our ability to raise capital, maintain our research and development efforts, expand our business and/or continue our operations. A decline in the value of the company could also cause you to lose all or part of your investment.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management of OpCo has previously evaluated adverse conditions and events that raised substantial doubt about OpCo’s ability to continue as a going concern, and its independent registered public accounting firm included an explanatory paragraph in its report on its financial statements as of and for the year ended December 31, 2022 included elsewhere herein with respect to this uncertainty. This substantial doubt about OpCo’s ability to continue as a going concern could materially limit our ability to raise additional funds through the issuance of new debt or equity securities or otherwise. Future reports on our financial statements may include an explanatory paragraph with respect to our ability to continue as a going concern. There is no assurance that adequate additional financing needed to allow us to continue as a going concern will be available to us on acceptable terms, or at all. The perception that we may not be able to continue as a going concern may cause others to choose not to do business with us due to concerns about our ability to meet our contractual obligations.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we plan to address with DNTH103 or other product candidates.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If approved, DNTH103 or other product candidates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These competitors also compete with us in recruiting and retaining qualified scientific and management personnel, establishing clinical trial sites, patient registration for clinical trials, as well as in acquiring technologies complementary to, or necessary for, DNTH103 or other product candidates.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programs and processes competitive with DNTH103 or other product candidates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any products we may develop, if any, or if competitors develop competing products or if biosimilars enter the market more quickly than we are able to, if at all, and are able to gain market acceptance.</w:t>
      </w:r>
    </w:p>
    <w:p>
      <w:pPr>
        <w:spacing w:after="0" w:line="291"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DNTH103 and our other programs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DNTH103 and our other programs are in the early stages of development. As a result, we expect it will be many years before we commercialize any product candidate, if any. Our ability to achieve and sustain profitability depends on obtaining regulatory approvals for, and successfully commercializing, DNTH103 or other product candidates either alone or with third parties, and we cannot guarantee that we will ever obtain regulatory approval for any product candidates. We have limited experience as a company in conducting and managing the clinical trials necessary to obtain regulatory approvals, including approval by the FDA or comparable foreign regulatory authorities. We have also not yet demonstrated an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and efficacy in humans of such product candidates.</w:t>
      </w:r>
    </w:p>
    <w:p>
      <w:pPr>
        <w:spacing w:after="0" w:line="188"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clinical trials. We or our collaborators also may experience numerous unforeseen events during, or as a result of, any current or future clinical trials that we could conduct that could delay or prevent our ability to receive marketing approval or commercialize DNTH103 or any other product candidates, including:</w:t>
      </w:r>
    </w:p>
    <w:p>
      <w:pPr>
        <w:spacing w:after="0" w:line="81" w:lineRule="exact"/>
        <w:rPr>
          <w:sz w:val="20"/>
          <w:szCs w:val="20"/>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the FDA or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of our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product candidates may be greater than we anticipate;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clinical trials of our product candidates may be inadequate to initiate or complete a given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sufficient quantities of our product candidates for use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as well as data emerging from other therapies in the same class as our product candidates;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 term toxicology studies, or impose other requirements before permitting us to initiate a clinical trial.</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or similar application and finalizing the trial design. In the event that the FDA requires us to complete additional preclinical studies or we are required to satisfy other FDA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countries, including countries in the European Union.</w:t>
      </w:r>
    </w:p>
    <w:p>
      <w:pPr>
        <w:spacing w:after="0" w:line="18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or to modify existing or enter into new collaborations for, a product candidate if we experience any issues that delay or prevent regulatory approval of, or our ability to commercialize, DNTH103 or any other product candidates. We or our current or future collaborators’ inability to complete development of, or commercialize, DNTH103 or any other product candidates or significant delays in doing so, could have a material and adverse effect on our business, financial condition, results of operations, cash flows, and prospects.</w:t>
      </w:r>
    </w:p>
    <w:p>
      <w:pPr>
        <w:spacing w:after="0" w:line="287"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most advanced product candidate, DNTH103, and our anticipated clinical trials of such candidate may not be successful.</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timely obtain marketing approval for, and then successfully commercialize, our most advanced product candidate, DNTH103. We are investing a majority of our efforts and financial resources into the research and development of this candidate. We recently reported positive topline results from our Phase 1 clinical trial in healthy volunteers of DNTH103, and pending clearance of any IND or clinical trial application (“CTA”) that we plan to submit, we anticipate initiating a Phase 2 clinical trial in the first quarter of 2024. The success of DNTH103 may depend on having a comparable safety and efficacy profile and a more favorable dosing schedule (i.e., less frequent dosing) and more patient-friendly administration (i.e., S.C. self-administration using a pen or other prefilled device) to products currently approved or in development for the indications we plan to pursue.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DNTH103 will require additional clinical development, evaluation of clinical, preclinical and manufacturing activities, marketing approval in multiple jurisdictions, substantial investment and significant marketing efforts before we generate any revenues from product sales, if any. We are not permitted to market or promote this product candidate, or any other product candidates, before it receives marketing approval from the FDA and/or comparable foreign regulatory authorities, and we may never receive such marketing approvals.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success of DNTH103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guarantee that we will ever be able to generate revenue through the sale of this candidate, even if approved. If we are not successful in commercializing DNTH103, or is significantly delayed in doing so, our business will be materially harmed.</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DNTH103 or any other product candidates may be delayed.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preclinical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DNTH103 or any other product candidates may be delayed or never achieved.</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build a pipeline of product candidates with commercial value.</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approach to the discovery and development of DNTH103 leverages clinically validated mechanisms of action and incorporates advanced antibody engineering properties designed to overcome limitations of existing therapies. DNTH103 is purposefully designed to improve upon currently approved products and existing product candidates. However, the scientific research that forms the basis of our efforts to develop a product candidate using only the classical complement pathway and half-life extension technologies is ongoing and may not result in viable product candidates. The long-term safety and efficacy of these technologies and exposure profile of DNTH103 compared to currently approved products is unknown.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may ultimately discover that our technologies for our specific targets and indications and DNTH103 or any product candidates resulting therefrom do not possess certain properties required for therapeutic effectiveness. We currently have only preclinical and limited preliminary data from our ongoing Phase 1 clinical trial regarding properties of DNTH103 and the same results may not be seen in patients. In addition, product candidates using technologies may demonstrate different chemical and pharmacological properties in patients than they do in laboratory studies. This technology and DNTH103 or any product candidates resulting therefrom may not demonstrate the same chemical and pharmacological properties in humans and may interact with human biological systems in unforeseen, ineffective or possibly harmful ways.</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product candidates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product candidates. We and our existing or future collaborators may never receive approval to market and commercialize DNTH103 or any other product candidates. Even if we or an existing or future collaborator obtains regulatory approval, the approval may be for targets, disease indications or patient populations that are not as broad as we intended or desired or may require labeling that includes significant use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or distribution restrictions or safety warnings. If the products resulting from DNTH103 or any other product candidates prove to be ineffective, unsafe or commercially unviable, our product candidates and pipeline may have little, if any, value, which may have a material and adverse effect on our business, financial condition, results of operations, cash flows, and prospects.</w:t>
      </w:r>
    </w:p>
    <w:p>
      <w:pPr>
        <w:spacing w:after="0" w:line="28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non-human primates (“NHPs”) to conduct certain preclinical studies that we are required to complete prior to submitting an IND and initiating clinical development. There is currently a global shortage of NHPs available for drug development. This could cause the cost of obtaining NHPs for our future preclinical studies to increase significantly and, if the shortage continues, could also result in delays to our development timelines. 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patients to provide feedback on measures,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9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We cannot be sure that the FDA or comparable foreign regulatory authorities will agree with our clinical development plan. We plan to use the data from our ongoing Phase 1 clinical trial of DNTH103 in healthy volunteers to support Phase 2 clinical trials in generalized Myasthenia gravis (“gMG”), multifocal motor neuropathy (“MMN”), chronic inflammatory demyelinating polyneuropathy (“CIDP”) and other indications. If the FDA or comparable regulatory authorities require us to conduct additional trials or enroll additional patients, our development timelines may be delayed. We cannot be sure that submission of an IND, a CTA,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difficulties in patient enrollment in our clinical trials for a variety of reasons;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Practices “(GCPs”) or regulations or applicable regulations or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processes to larger-scale facilities operated by third-party CDMOs and delays or failure by our CDMOs or us to make any necessary changes to such manufacturing process; and third parties being unwilling or unable to satisfy their contractual obligations to us.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placed on clinical hold, suspended or terminated by us, the FDA, the competent authorities of the European Union (“EU”), member states or other regulatory authorities or the IRBs or ethics committees of the institutions in which such trials are being conducted, if a clinical trial is recommended for suspension or termination by the data safety monitoring board (“DSMB”) or equivalent body for such trial, or on account of changes to federal, state, or local laws. If we are required to conduct additional clinical trials or other testing of DNTH103 or any other product candidates beyond those that we contemplate, if we unable to successfully complete clinical trials of DNTH103 or any other product candidates, if the results of these trials are not positive or are only moderately positive or if there are safety concerns, our business and results of operations may be adversely affected and we may incur significant additional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 key part of our business strategy is to identify and develop additional product candidates. Our preclinical research and clinical trials may initially show promise in identifying potential product candidates yet fail to yield product candidates for clinical development for a number of reasons. For example, we may be unable to identify or design additional product candidates with the pharmacological and pharmacokinetic drug properties that we desire, including, but not limited to, extended half-life, acceptable safety profile or the potential for the product candidate to be delivered in a convenient formulation. Research programs to identify new product candidates require substantial technical, financial, and human resources. If we are unable to identify suitable active selective complement targets for preclinical and clinical development, we may not be able to successfully implement our business strategy, and may have to delay, reduce the scope of, suspend or eliminate one or more of our product candidates, clinical trials or future commercialization efforts, which would negatively impact our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trial until its conclusion. The enrollment of patients in future trials for DNTH103 or any other product candidates will depend on many factors, including 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 Additionally, the number of patients required for clinical trials of DNTH103 or any other product candidates may be larger than we anticipate, especially if regulatory bodies require the completion of non-inferiority or superiority trials.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298"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becomes available and are subject to audit and verification procedures.</w:t>
      </w:r>
    </w:p>
    <w:p>
      <w:pPr>
        <w:spacing w:after="0" w:line="5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Any preliminary or topline data should be viewed with caution until the final data is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DNTH103 or any other product candidate may be harmed, which could harm our business, financial condition, results of operations, cash flows, and prospects.</w:t>
      </w:r>
    </w:p>
    <w:p>
      <w:pPr>
        <w:spacing w:after="0" w:line="298"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clinical trials or those of our future collaborators may reveal significant adverse events or undesirable side effects not seen in our preclinical studies and may result in a safety profile that could halt clinical development, inhibit regulatory approval or limit commercial potential or market acceptance of DNTH103 or any other product candidates or result in potential product liability claims.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adverse events or unexpected characteristics. While our completed preclinical studies in NHPs and our ongoing Phase 1 clinical trial in humans have not shown any such characteristics to date, we have not yet completed our clinical trial in humans. If significant adverse events or other side effects are observed in any of our current or future clinical trials, we may have difficulty recruiting patients to such trials, patients may drop out of our trials, patients may be harmed, or we may be required to abandon the trials or our development efforts of one or more product candidates altogether, including DNTH103. We, the FDA, EU member states, or other applicable regulatory authorities, or an IRB or ethics committee, may suspend any clinical trials of DNTH103 or any other product candidates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Other potential products have shown side effects in preclinical studies that do not present themselves in clinical trials in humans. Even if the side effects do not preclude a product candidate from obtaining or maintaining marketing approval, undesirable side effects may inhibit market acceptance of an approved product due to its tolerability versus other therapies. In addition, a half-life extension could prolong the duration of undesirable side effects, which could also inhibit market acceptance. Treatment-emergent adverse events could also affect patient recruitment or the ability of enrolled subjects to complete our clinical trials or could result in potential product liability claims. Potential side effects associated with DNTH103, or any other product candidates may not be appropriately recognized or managed by the treating medical staff, as toxicities resulting from DNTH103, or any other product candidates may not be normally encountered in the general patient population and by medical personnel. Any of these occurrences could harm our business, financial condition, results of operations, cash flows, and prospects significantly.</w:t>
      </w:r>
    </w:p>
    <w:p>
      <w:pPr>
        <w:spacing w:after="0" w:line="19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even if we successfully advance DNTH103 or any other product candidates through clinical trials, such trials will only include a limited number of patients and limited duration of exposure to such product candidates. As a result, we cannot be assured that adverse effects of DNTH103 or any other product candidates will not be uncovered when a significantly larger number of patients are exposed to such product candidate after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approval. Further, any clinical trials may not be sufficient to determine the effect and safety consequences of using our product candidate over a multi-year period.</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DNTH103 or any other product candidates prove to be unsafe, our entire pipeline could be affected, which would have a material adverse effect on our business, financial condition, results of operations, cash flows, and prospects.</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such as DNTH103, and fail to capitalize on candidates that may be more profitable or for which there is a greater likelihood of success.</w:t>
      </w:r>
    </w:p>
    <w:p>
      <w:pPr>
        <w:spacing w:after="0" w:line="5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intend to focus our research and development efforts on certain selected product candidates. For example, we are initially focused on our most advanced product candidate, DNTH103. As a result, we may forgo or delay pursuit of opportunities with other potential candidates that may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w:t>
      </w:r>
    </w:p>
    <w:p>
      <w:pPr>
        <w:spacing w:after="0" w:line="275"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regulatory approval is obtained, any approved products resulting from DNTH103 or any other product candidate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DNTH103 or any other product candidates,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gMG, MMN and CIDP. Market participants with significant influence over acceptance of new treatments, such as clinicians and third-party payors, may not adopt a biologic with a target product profile such as that of DNTH103 or for its targeted indications, and we may not be able to convince the medical community and third-party payors to accept and use, or to provide favorable reimbursement for, any product candidates developed by us or our existing or future collaborators. Market acceptance of DNTH103 or any other product candidates will depend on many factors, including factors that are not within our control.</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Sales of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cost effective or less burdensome as compared with competing treatments. If DNTH103 or any other product candidate is approved but does not achieve an adequate level of acceptance by such parties, we may not generate or derive sufficient revenue from that product and may not become or remain profitable.</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may lack the necessary expertise, personnel and resources to successfully commercialize a product candidate on our own or together with suitable collaborators.</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a product candidate, which we may license to others, we may rely on the assistance and guidance of those collaborators. For a product candidate for which we retain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our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w:t>
      </w:r>
    </w:p>
    <w:p>
      <w:pPr>
        <w:spacing w:after="0" w:line="29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completed any late-stage clinical trials and we may not be able to file an IND, a CTA or other applications for regulatory approval to commence additional clinical trials on the timelines we expect, and, even if we are able to, the FDA, EMA or comparable foreign regulatory authorities may not permit us to proceed and could also suspend/terminate the trial after it has been initiated.</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early in our development efforts and will need to successfully complete later-stage and pivotal clinical trials in order to obtain FDA, European Medical Agency (“EMA”), or comparable foreign regulatory approval to market our product candidates. Carrying out clinical trials and the submission of a successful IND or CTA is a complicated process. As an organization, we have not yet completed a Phase 1 clinical trial and have limited experience as a company in preparing, submitting and prosecuting regulatory filings. Since the announcement of positive topline results from our Phase 1 clinical trial of DNTH103, to support the initiation of a global Phase 2 clinical trial in gMG, we intend to submit an IND in the United States in the fourth quarter of 2023 and, subsequently, a CTA in the European Union in the first quarter of 2024. However, we may not be able to file the IND or CTA in accordance with our desired timelines. For example, we may experience manufacturing delays or other delays with IND- or CTA-enabling studies, including with suppliers, study sites, or third-party contractors and vendors on whom we depend. Moreover, we cannot be sure that submission of an IND or a CTA or submission of a trial to an IND or a CTA will result in the FDA or EMA or comparable foreign regulatory authorities allowing further clinical trials to begin, or that, once begun, issues will not arise that lead us to suspend or terminate clinical trials. For example, upon submission of our IND or CTA for a Phase 2 clinical trial of DNTH103, the FDA or EMA may recommend changes to our proposed study designs, including the number and size of registrational clinical trials required to be conducted in such Phase 2 programs. Consequently, we may be unable to successfully and efficiently execute and complete necessary clinical trials in a way that leads to regulatory submission and approval of our product candidates. Additionally, even if regulatory authorities agree with the design and implementation of the clinical trials set forth in an IND or a CTA, such regulatory authorities may change their requirements in the future. The FDA, EMA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file INDs or CTAs, initiate clinical trials, or obtain regulatory approvals for our trials may prevent us from completing our clinical trials or commercializing our products on a timely basis, if at all. We are subject to similar risks related to the review and authorization of our protocols and amendments by comparable foreign regulatory authorities.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DNTH103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a CDMO, WuXi Biologics (as defined below), to manufacture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product candidate used in our Phase 1 clinical trial. We currently have a sole source relationship with WuXi Biologics for our supply of DNTH103 (see the section titled “</w:t>
      </w:r>
      <w:r>
        <w:rPr>
          <w:rFonts w:ascii="Times New Roman" w:cs="Times New Roman" w:eastAsia="Times New Roman" w:hAnsi="Times New Roman"/>
          <w:sz w:val="18"/>
          <w:szCs w:val="18"/>
          <w:i w:val="1"/>
          <w:iCs w:val="1"/>
          <w:color w:val="auto"/>
        </w:rPr>
        <w:t>Business—Collaboration, License and Services Agreements</w:t>
      </w:r>
      <w:r>
        <w:rPr>
          <w:rFonts w:ascii="Times New Roman" w:cs="Times New Roman" w:eastAsia="Times New Roman" w:hAnsi="Times New Roman"/>
          <w:sz w:val="18"/>
          <w:szCs w:val="18"/>
          <w:color w:val="auto"/>
        </w:rPr>
        <w:t>” located elsewhere in this prospectus for additional information on Dianthus’ relationship with WuXi Biologics).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CDMO facility that supports our supply of DNTH103 and review/approve all DNTH103 cGMP-related documentation. We also have a quality agreement with WuXi Biologics that documents our mutual agreement on compliance with cGMPs and expectations on quality-required communications to us. Beyond this, we have no control over the ability of our CDMO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Moreover, our CDMO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Russian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DNTH103,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DNTH103,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CDMO, WuXi Biologics, is unable to obtain sufficient raw and intermediate materials on a timely basis or if our CDMO experiences other supply difficulties, our business may be materially and adversely affected.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work closely with our CDMO, WuXi Biologics, to ensure their suppliers have continuity of supply of raw and intermediate materials but cannot guarantee these efforts will always be successful. Our CDMO has experienced, and may experience in the future, raw and intermediate materials supply shortages, including those resulting from the COVID-19 pandemic, which could contribute to manufacturing delays and impact the progress of our clinical trials. Further, while we work with our CDMO to diversify their sources of raw and intermediate materials, in certain instances they acquire raw and intermediate materials from a sole supplier, and there can be no assurance that they will be able to quickly establish additional or replacement sources for some materials. A reduction or interruption in supply, and an inability to develop alternative sources for such supply, could adversely affect our ability to manufacture our product candidates in a timely or cost-effective manner and could delay completion of our clinical trials, product testing, and potential regulatory approval of our product candidates.</w:t>
      </w:r>
    </w:p>
    <w:p>
      <w:pPr>
        <w:spacing w:after="0" w:line="296"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utilize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guidelines enforced by the FDA and comparable foreign regulatory authorities for any product candidate in clinical development. If we or any of these third parties fail to comply with applicable GCP guidelines, the clinical data generated in our clinical trials may be deemed unreliable and the FDA or comparable foreign regulatory authorities may require us to perform additional clinical trials before approving our marketing applications. We cannot provide assurance that upon inspection by a given regulatory authority, such regulatory authority will determine that any of our clinical trials comply with GCP regulations. In addition, our clinical trials must be conducted with product generated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with our employees and, except for remedies available to us under our agreements with such third parties, we cannot control whether they devote sufficient time and resources to our product candidates. These third parties may be involved in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DNTH103 or other product candidates.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collaborations with third parties, including our existing license and development collaboration with Zenas BioPharma. If we are unable to maintain these collaborations, or if these collaborations are not successful, segments of our business could be adversely affected.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various collaboration and license arrangements, including with Zenas BioPharma for the development and commercialization of DNTH103 in the greater area of China, and we currently hold an exclusive license for worldwide (excluding the greater area of China) development and commercialization rights for certain potential product candidates. Further, we may in the future form or seek strategic alliances, create joint ventures or collaborations, or enter into licensing arrangements with third parties that we believe will complement or augment our development and commercialization efforts with respect to our product candidates. Collaborations or licensing arrangements that we enter into may not be successful, and any success will depend heavily on the efforts and activities of such collaborators or licensors. If any of our collaborators, licensors or licensees experience delays in performance of, or fail to perform their obligations under, their applicable agreements with us, disagree with our interpretation of the terms of such agreement or terminate their agreement with us, our pipeline of product candidates would be adversely affected. If we fail to comply with any of the obligations under our collaborations or license agreements, including payment terms and diligence terms, our collaborators, licensors or licensees may have the right to terminate our agreements, in which event we may lose intellectual property rights and may not be able to develop, manufacture, market or sell the products covered by such agreements or may face other penalties under our agreements. Our collaborators, licensors or licensees may also fail to properly maintain or defend the intellectual property we have licensed from,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Further, any of these relationships may require us to increase our near and long-term expenditures, issue securities that dilute our existing stockholders or disrupt our management and business.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 term expenditures, issue securities that dilute our existing stockholders or disrupt our management and business.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increase the size of our organization and we may experience difficulties in managing this growth.</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we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Chief Executive Officer, Chief Medical Officer, Chief Financial Officer, General Counsel, Chief Accounting Officer and other members of our leadership team.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we could materially and adversely affect our business, financial condition, cash flows, and results of operations. We could in the future have difficulty attracting and retaining experienced personnel and may be required to expend significant financial resources on our employee recruitment and retention efforts.</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DNTH103 or other product candidates in foreign markets for which we may rely on collaboration with third parties. We are not permitted to market or promote any product candidates before we receive regulatory approval from the applicable foreign regulatory authority, and we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DNTH103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DNTH103 or other product candidates will be harmed, and our business will be adversely affected. Moreover, even if we obtain approval of DNTH103 or other product candidates and ultimately commercialize such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8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CDMOs, other contractors, third party service providers or consultants or potential future collaborators, may fail or suffer security or data privacy breaches or other unauthorized or improper access to, use of, or destruction of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CDMOs, other contractors (including sites performing our clinical trials), third party service providers and supply chain companies, and consultants, as well as other partners,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employees, contractors, consultants, business partners and/or other third parties, or from cyber-attacks by malicious third parties, which may compromise system infrastructure or lead to the loss, destruction, alteration or dissemination of, or damage to,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DNTH103, or other product candidates could be delayed.</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our employees work remotely and utilize network connections, computers, and devices outside our premises or network, including working at home, while in transit and in public locations, there are risks to our information technology systems and data.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82"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experiences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w:t>
      </w:r>
    </w:p>
    <w:p>
      <w:pPr>
        <w:spacing w:after="0" w:line="29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third parties with whom we work,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cash flows, and results of operations. See the sections titled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Regulation—Data Privacy and 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 Government Regulation Outside of the United States</w:t>
      </w:r>
      <w:r>
        <w:rPr>
          <w:rFonts w:ascii="Times New Roman" w:cs="Times New Roman" w:eastAsia="Times New Roman" w:hAnsi="Times New Roman"/>
          <w:sz w:val="18"/>
          <w:szCs w:val="18"/>
          <w:color w:val="auto"/>
        </w:rPr>
        <w:t>” located elsewhere in this prospectus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detailed description of the laws that may affect our ability to operate.</w:t>
      </w:r>
    </w:p>
    <w:p>
      <w:pPr>
        <w:spacing w:after="0" w:line="29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may not realize the benefits of such acquisitions.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at times in balances that exceed federally-insured limits. The failure of financial institutions could adversely affect our ability to pay our operational expenses or make other payments.</w:t>
      </w:r>
    </w:p>
    <w:p>
      <w:pPr>
        <w:spacing w:after="0" w:line="5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can at times exceed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For example, Former Dianthus could not access its assets held in its account with Silicon Valley Bank for a period in March 2023, which required Former Dianthus to obtain a short-term loan to fund its operations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Dianthus and Former Dianthus Transactions—Promissory Notes</w:t>
      </w:r>
      <w:r>
        <w:rPr>
          <w:rFonts w:ascii="Times New Roman" w:cs="Times New Roman" w:eastAsia="Times New Roman" w:hAnsi="Times New Roman"/>
          <w:sz w:val="18"/>
          <w:szCs w:val="18"/>
          <w:color w:val="auto"/>
        </w:rPr>
        <w:t>” located elsewhere in this prospectus for information on the short-term loan).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2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which, if not corrected, could affect the reliability of our financial statements and have other adverse consequences.</w:t>
      </w:r>
    </w:p>
    <w:p>
      <w:pPr>
        <w:spacing w:after="0" w:line="5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identified material weaknesses in our internal control over financial reporting that we are currently working to remediate, which relate to:</w:t>
      </w:r>
    </w:p>
    <w:p>
      <w:pPr>
        <w:spacing w:after="0" w:line="39" w:lineRule="exact"/>
        <w:rPr>
          <w:sz w:val="20"/>
          <w:szCs w:val="20"/>
          <w:color w:val="auto"/>
        </w:rPr>
      </w:pPr>
    </w:p>
    <w:p>
      <w:pPr>
        <w:ind w:left="120" w:right="240" w:hanging="4"/>
        <w:spacing w:after="0" w:line="255" w:lineRule="auto"/>
        <w:tabs>
          <w:tab w:leader="none" w:pos="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segregation of duties, including the review and approval of journal entries as well as system access that has not been designed to allow for effective segregation of duties; and (b) our accounting software system has certain system limitations that do not allow for an effective control environment.</w:t>
      </w:r>
    </w:p>
    <w:p>
      <w:pPr>
        <w:spacing w:after="0" w:line="18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these material weaknesses in our internal control over financial reporting are due to the fact that we have limited resources and do not have the necessary business processes and related internal controls formally designed and implemented coupled with the appropriate resources to oversee our business processes and controls.</w:t>
      </w:r>
    </w:p>
    <w:p>
      <w:pPr>
        <w:spacing w:after="0" w:line="176"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Our management is in the process of developing a remediation plan. The material weaknesses will be considered remediated when our management designs and implements effective controls that operate for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sufficient period of time and management has concluded, through testing, that these controls are effective. Our management will monitor the effectiveness of our remediation plans and will make changes management determines to be appropriate.</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financial reporting is effective, or, if required in the future,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all of which could require additional financial and management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rely or may rely upon a combination of patents, trademarks, trade secret protection and confidentiality agreements to protect the intellectual property related to our product candidates and technologies and to prevent third parties from competing with us. Our success depends in large part on our ability to obtain and maintain patent protection for platform technologies, product candidates and their uses, as well as the ability to operate without infringing on or violating the proprietary rights of others. We own six pending patent applications, and we expect to continue to file patent applications in the United States and abroad related to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product candidates worldwide would be prohibitively expensive and our intellectual property rights in some foreign jurisdictions may be less extensive than those in the United States. As such, we do not have patents in all countries or all major markets and may not be able to obtain patents in all jurisdictions even if we apply for them. Competitors may operate in countries where we do not have patent protection and could then freely use our technologies and discoveries in such countries to the extent such technologies and discoveries are publicly known or disclosed in countries where patent protection has not been requested.</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intellectual property portfolio is at an early stage, and we do not currently own or in-license any issued patents.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Even if these patents are granted, they may be difficult to enforce. Further, any issued patents that may be licensed or are owned covering our product candidates could be narrowed or found invalid or unenforceable if challenged in court or before administrative bodies in the United States or abroad, including the United States Patent and Trademark Office (“USPTO”). Further, if we encounter delays in any clinical trials or delays in obtaining regulatory approval, the period of time during which we could market product candidates under patent protection would be reduced. Thus, the patents that we may own or license may not afford any meaningful competitive advantage.</w:t>
      </w:r>
    </w:p>
    <w:p>
      <w:pPr>
        <w:spacing w:after="0" w:line="18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facilities or third-party consultants and vendors that we engage to perform researches, clinical trials or manufacturing activities, or misappropriation by third parties (such as through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cybersecurity breach) of our trade secrets or proprietary information could enable competitors to duplicate or surpass our technological achievements, thus eroding our competitive position in the market. In order to protect our proprietary technology and processes, we rely in part on confidentiality agreements with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markets of interest and our business may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candidates through acquisitions and in-licenses.</w:t>
      </w:r>
    </w:p>
    <w:p>
      <w:pPr>
        <w:spacing w:after="0" w:line="12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investment or at all. If we are unable to successfully obtain rights to required third-party intellectual property rights or maintain the existing intellectual property rights we have, we may have to abandon development of the relevant product candidate, which could have a material adverse effect on our business, financial condition, results of operations, cash flows, and prospects.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we will normally seek to obtain the right to control prosecution, maintenance and enforcement of the patents relating to a product candidate, there may be times when the filing and prosecution activities for patents and patent applications relating to a product candidate are controlled by future licensors or collaboration partners. If any of these future licensors or collaboration partners fail to prosecute, maintain and enforce such patents and patent applications in a manner consistent with the best interests of our business, including by payment of all applicable fees for patents covering a product candidate, we could lose rights to the intellectual property or exclusivity with respect to those rights, our ability to develop and commercialize such candidate may be adversely affected and we may not be able to prevent competitors from making, using and selling competing products. In addition, even where we have the right to control patent prosecution and patent applications which may be licensed to and from third parties, we may still be adversely affected or prejudiced by actions or inactions of licensees, future licensors and their counsel that took place prior to the date upon which we assumed control over patent prosecution.</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future licensors may rely on third-party consultants or collaborators or on funds from third parties such that future licensors are not the sole and exclusive owners of the patents we in-license. If other third parties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ownership rights to future in-licensed patents, they may be able to license such patents to our competitors, and the competitors could market competing products and technology. This could have a material adverse effect on our competitive position, business, financial conditions, results of operations, cash flows, and prospects.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are able to obtain a license, it may be non-exclusive, thereby giving competitors access to the same technologies licensed to us. In that event, we may be required to expend significant time and resources to redesign our technology, product candidates, or the methods for manufacturing the same,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cash flows, and prospects significantly. We cannot provide any assurances that third-party patents do not exist which might be enforced against our current technology or manufacturing methods, our product candidates, or future methods or product candidates, resulting in either an injunction prohibiting manufacture or future sales, or, with respect to future sales, an obligation on our part to pay royalties and/or other forms of compensation to third parties, which could be significant. For example, we are aware of a certain U.S. patent owned by a third party with claims that are directed to a method of inhibiting complement C1s activity in an individual with an antibody that selectively binds active form of complement component C1s compared to inactive C1s and inhibits complement C1s activity by at least 60% in a protease assay. Although we do not believe that this is a valid patent, this patent could be construed to cover our anti-C1s antibodies.</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 related issues; whether and to what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creations or use of intellectual property by future licensors and us and/or our partners; and the priority date of an invention of patented technology.</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potential products.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product candidates are ultimately granted regulatory approval, patent rights held by third parties, if found to be valid and enforceable, could be alleged to render one or more of such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it infringes their patents or other intellectual property rights. In addition, in a patent infringement proceeding, a court or administrative body may decide that one or more of the patents we assert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received may not be commercially valuable.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future licensees and other parties with whom we had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employees, consultants or independent contractors have wrongfully used or disclosed confidential information of third parties.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industry, in addition to our employees, we engage and may engage in the services of consultants to assist in the development of our product candidates. Many of these consultants, and many of our employees, were or may have been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financial condition and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any future in-licensed patent applications and the maintenance, enforcement or defense of our owned and any future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16, 2013, under the Leahy- 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cash flows, and prospects.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cash flows, and prospects may be adversely affected.</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a European Unified Patent Court (the “UPC”) came into force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or applications, if we obtain such patents and applications in the future, any such revocation and loss of patent protection could have a material adverse impact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pending applications or any future issued patents,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or academic institutions,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cash flows, and prospects.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future licensed patent portfolio may not provide us with sufficient rights to exclude others from commercializing products similar or identical to ours.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7"/>
          <w:szCs w:val="17"/>
          <w:color w:val="auto"/>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the licensed technology in the event of misuse.</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do so, the government may grant the license itself. We may in the future collaborate with academic institutions to accelerate our preclinical research or development. While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in-technology which is critical to our business that is developed in whole or in part with federal funds subject to the Bayh-Dole Act, our ability to enforce or otherwise exploit patents covering such technology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7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most advanced product candidate, DNTH103, we must demonstrate through lengthy, complex and expensive preclinical and clinical trials that such product candidates are both safe and effective for each targeted indication. Securing regulatory approval also requires the submission of information about the drug manufacturing process to, and inspection of manufacturing facilities by, the relevant regulatory authority. Further, a product candidate may not be effective, may be only moderately effective or may prove to have undesirable or unintended side effects, toxicities or other characteristics that may preclude its obtaining marketing approval. The FDA and comparable foreign regulatory authorities have substantial discretion in the approval process and may refuse to accept any application or may decide that our data is insufficient for approval and require additional preclinical, clinical or other data. A product candidate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a product candidate; we may be unable to demonstrate that a product candidate’s clinical and other benefits outweigh its safety risks; the FDA or comparable foreign regulatory authorities may disagree with our interpretation of data from preclinical studies or clinical trials; the data collected from clinical trials of a product candidate may not be acceptable or sufficient to support the submission of a biologics license application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a product candidate;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20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DNTH103 or other product candidates, which would significantly harm our business, results of operations and prospects. 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w:t>
      </w:r>
    </w:p>
    <w:p>
      <w:pPr>
        <w:spacing w:after="0" w:line="27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could negatively affect the review of our regulatory submissions, which could negatively impact our business.</w:t>
      </w:r>
    </w:p>
    <w:p>
      <w:pPr>
        <w:spacing w:after="0" w:line="5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can be affected by a variety of factors, including disruptions caused by government shutdowns and public health crises. Such disruptions could significantly impact the ability of the FDA or other regulatory authorities to timely review and process our regulatory submissions, which could have a material adverse effect on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synthesizing the active ingredient, developing an acceptable formulation, performing tests to adequately characterize the formulated product, documenting a repeatable manufacturing process, and demonstrating that our drug products meet stability requirements. Meeting these chemistry, manufacturing and control (“CMC”) requirements is a complex task that requires specialized expertise. If we are not able to meet the CMC requirements, we may not be successful in getting our products approved.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deliver our product candidates via a drug delivery device that will have its own regulatory, development, supply and other risks.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intend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Our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spacing w:after="0" w:line="29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conduct clinical trials for our product candidates at sites outside the United States, and the FDA may not accept data from trials conducted in such locations.</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Phase 1 clinical trial for DNTH103 is currently being conducted in New Zealand, and we may in the future choose to conduct more of our clinical trials outside the United States. We currently intend to conduct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82"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Phase 2 clinical trial for DNTH103 in the United States and outside the United States.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Other risks inherent in conducting international clinical trials include: foreign regulatory requirements, differences in healthcare services, and differences in cultural customs that could restrict or limit our ability to conduct our clinical trials; administrative burdens of conducting clinical trials under multiple sets of foreign regulations; foreign exchange fluctuations; diminished protection of intellectual property in some countries; and political and economic risks relevant to foreign countries.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investigational biological products, if approved, could be considered reference products entitled to the 12-year period of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291"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DNTH103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Any regulatory approvals that we may receive for DNTH103 or other product candidates will require the submission of reports to regulatory authorities and surveillance to monitor the safety and efficacy of such product candidates, may contain significant limitations related to use restrictions for specified age groups, warnings, precautions or contraindications, and may include burdensome post-approval study or risk management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DNTH103 or other product candidates and generate revenue and could require us to expend significant time and resources in response and could generate negative publicity.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legislative reform measures.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DNTH103 or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w:t>
      </w:r>
      <w:r>
        <w:rPr>
          <w:rFonts w:ascii="Times New Roman" w:cs="Times New Roman" w:eastAsia="Times New Roman" w:hAnsi="Times New Roman"/>
          <w:sz w:val="18"/>
          <w:szCs w:val="18"/>
          <w:i w:val="1"/>
          <w:iCs w:val="1"/>
          <w:color w:val="auto"/>
        </w:rPr>
        <w:t>Business—Government Regulation—Healthcare Reform</w:t>
      </w:r>
      <w:r>
        <w:rPr>
          <w:rFonts w:ascii="Times New Roman" w:cs="Times New Roman" w:eastAsia="Times New Roman" w:hAnsi="Times New Roman"/>
          <w:sz w:val="18"/>
          <w:szCs w:val="18"/>
          <w:color w:val="auto"/>
        </w:rPr>
        <w:t>” located elsewhere in this prospectus for a more detailed description of healthcare reforms measures that may prevent us from being able to generate revenue, attain profitability, or commercialize product candidates.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See the section titled “</w:t>
      </w:r>
      <w:r>
        <w:rPr>
          <w:rFonts w:ascii="Times New Roman" w:cs="Times New Roman" w:eastAsia="Times New Roman" w:hAnsi="Times New Roman"/>
          <w:sz w:val="18"/>
          <w:szCs w:val="18"/>
          <w:i w:val="1"/>
          <w:iCs w:val="1"/>
          <w:color w:val="auto"/>
        </w:rPr>
        <w:t>Business—Government Regulation—Other Healthcare Laws and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w:t>
      </w:r>
      <w:r>
        <w:rPr>
          <w:rFonts w:ascii="Times New Roman" w:cs="Times New Roman" w:eastAsia="Times New Roman" w:hAnsi="Times New Roman"/>
          <w:sz w:val="18"/>
          <w:szCs w:val="18"/>
          <w:color w:val="auto"/>
        </w:rPr>
        <w:t>” located elsewhere in this prospectus for a more detailed description of the laws that may affect our ability to operate.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DNTH103 or other product candidates, due to unfavorable pricing regulations and/or third-party coverage and reimbursement policies, we may not be able to offer such products at competitive prices which would seriously harm our business.</w:t>
      </w:r>
    </w:p>
    <w:p>
      <w:pPr>
        <w:spacing w:after="0" w:line="5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intend to seek approval to market DNTH103 and other product candidates in both the United States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condition. See the sections titled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Regulation—Coverage and Reimbursement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—Regulation in the European Union</w:t>
      </w:r>
      <w:r>
        <w:rPr>
          <w:rFonts w:ascii="Times New Roman" w:cs="Times New Roman" w:eastAsia="Times New Roman" w:hAnsi="Times New Roman"/>
          <w:sz w:val="17"/>
          <w:szCs w:val="17"/>
          <w:color w:val="auto"/>
        </w:rPr>
        <w:t>” located elsewhere in this prospectus for a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detailed description of the government regulations and third-party payor practices that may affect our ability to commercialize our product candidates.</w:t>
      </w:r>
    </w:p>
    <w:p>
      <w:pPr>
        <w:spacing w:after="0" w:line="28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cash flows, or prospects could be materially and adversely affected. Brexit could lead to legal uncertainty and potentially divergent national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or Orphan Drug Designation by the FDA, it may not lead to a faster development or regulatory review or approval process.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seek Fast Track Designation or Orphan Drug Designation for one or more product candidates. The FDA has broad discretion whether or not to grant such designations, so even if we believe a particular product candidate is eligible for such designations, we cannot guarantee that the FDA would decide to grant it. Even if we do receive Fast Track Designation or Orphan Drug Designation, we may not experience a faster development process, review or approval compared to conventional FDA procedures. The FDA may withdraw Fast Track Designation or Orphan Drug Designation if it believes that the designation is no longer supported by data from a clinical development program. See the section titled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Regulation—Expedited Development and Review Programs</w:t>
      </w:r>
      <w:r>
        <w:rPr>
          <w:rFonts w:ascii="Times New Roman" w:cs="Times New Roman" w:eastAsia="Times New Roman" w:hAnsi="Times New Roman"/>
          <w:sz w:val="18"/>
          <w:szCs w:val="18"/>
          <w:color w:val="auto"/>
        </w:rPr>
        <w:t>” located elsewhere in this prospectus for a more detailed description of the process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Fast Track Designation or Orphan Drug Designation.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DNTH103 and other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cash flows, and prospects.</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such as the COVID-19 pandemic, political crises, geopolitical events, such as conflict between Russia and Ukraine, or other macroeconomic conditions, which could have a material and adverse effect on our results of operations, cash flows, and financial condition.</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192"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 and the market price of the Common Stock may drop.</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subject to significant fluctuations. Some of the factors that may cause the market price of our Common Stock to fluctuate include:</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value. Activist campaigns that contest or conflict with our strategic direction or seek changes in the composition of our Board of Directors could have an adverse effect on our operating results, financial condition and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integrate successfully the businesses of Former Dianthus and Dianthus and realize the anticipated benefits of the Merger.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involved the combination of two companies which operated as independent companies. We will be required to devote significant management attention and resources to integrating our business practices and operations. We may fail to realize some or all of the anticipated benefits of the Merger if the integration process takes longer than expected or is more costly than expected. Potential difficulties we may encounter in the integration process include the following:</w:t>
      </w:r>
    </w:p>
    <w:p>
      <w:pPr>
        <w:spacing w:after="0" w:line="85" w:lineRule="exact"/>
        <w:rPr>
          <w:sz w:val="20"/>
          <w:szCs w:val="20"/>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the businesses of Former Dianthus and Dianthus in a manner that permits us to achieve the anticipated benefits from the Merger, which would result in the anticipated benefits of the Merger not being realized partly or wholly in the time frame currently anticipated or at all;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uniform standards, controls, procedures, policies and information systems;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the integration process could result in the diversion of our management’s attention, the disruption or interruption of, or the loss of momentum in, in our ongoing business or inconsistencies in standards, controls, procedures and policies, any of which could adversely affect our ability to maintain our business relationships or the ability to achieve the anticipated benefits of the Merger, or could otherwise adversely affect our business and financial results.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Former Dianthus did not incur as a private company, including costs associated with public company reporting obligations under the Exchange Act. Our management team consists of the executive officers of Former Dianthus,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9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qualifies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We will no longer qualify as an emerging growth company after December 31, 2023.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Once we are no longer an emerging growth company or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controls, our ability to produce accurate financial statements on a timely basis could be impaired.</w:t>
      </w:r>
    </w:p>
    <w:p>
      <w:pPr>
        <w:spacing w:after="0" w:line="13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our management to report on the effectiveness of our internal controls over financial reporting in our Annual Report on Form 10-K filing for that year, as required by Section 404 of the Sarbanes-Oxley Act. As a private company, Former Dianthus has never been required to test its internal controls within a specified period. This will require that we incur substantial professional fees and internal costs to expand our accounting and finance functions and that we expend significant management efforts. We may experience difficulty in meeting these reporting requirements in a timely manner. For additional information related to the risks and uncertainties of our compliance with the Sarbanes-Oxley Act, see the section above titled “</w:t>
      </w:r>
      <w:r>
        <w:rPr>
          <w:rFonts w:ascii="Times New Roman" w:cs="Times New Roman" w:eastAsia="Times New Roman" w:hAnsi="Times New Roman"/>
          <w:sz w:val="18"/>
          <w:szCs w:val="18"/>
          <w:i w:val="1"/>
          <w:iCs w:val="1"/>
          <w:color w:val="auto"/>
        </w:rPr>
        <w:t>Risks Related to Our Business and Operations—We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identified material weaknesses in our internal control over financial reporting which, if not corrected, could affect the reliability of our financial statements and have other adverse consequences.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material weaknesses described above,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under Delaware law could make an acquisition of us more difficult and may prevent attempts by our stockholders to replace or remove our management.</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discourage, delay or prevent a merger, acquisition or other change in control of us that stockholders may consider favorable, including transactions in which our common stockholders might otherwise receive a premium price for their shares. These provisions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our charter or bylaws.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67"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our bylaws provide that any person or entity purchasing or otherwise acquiring any interest in shares of our capital stock is deemed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have notice of and consented to the foregoing Delaware Forum Provision and Federal Forum Provision; provided, however, that stockholders cannot and will not be deemed to have waived its compliance with the U.S. federal securities laws and the rules and regulations thereunder.</w:t>
      </w:r>
    </w:p>
    <w:p>
      <w:pPr>
        <w:spacing w:after="0" w:line="162"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our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our stockholders may not be able to sell their shares of Common Stock for a profit, if at all.</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of Common Stock may not be sustained. If an active market for our Common Stock is not sustained, it may be difficult for our stockholders to sell their shares at an attractive price or at all.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If securityholders sell, or indicate an intention to sell, substantial amounts of our Common Stock in the public market after legal restrictions on resale lapse, the trading price of our Common Stock could decline. As of December 11, 2023, we had 14,817,696 shares of Common Stock issued and outstanding. Of the shares of our Common Stock outstanding, approximately 5,727,550 will be available for sale in the public market beginning 180 days after the closing of the Merger as a result of the expiration of lock-up agreements between Dianthus and OpCo on the one hand and certain securityholders of Dianthus and OpCo on the other hand (and without giving effect to any restrictions on resale under securities laws). All other outstanding shares of Common Stock, other than shares held by affiliates of Dianthus, shares of Common Stock issued in exchange for shares of OpCo common stock issued in the OpCo pre-closing financing and shares of Common Stock issuable upon the exercise of the Pre-Funded Warrants issued in exchange for the OpCo pre-funded warrants issued in the OpCo pre-closing financing, are freely tradable, without restriction, in the public market (other than restrictions under applicable securities laws). In addition, shares of Common Stock that are subject to outstanding options or warrants of Dianthus (excluding the Pre-Funded Warrants issued in exchange for the OpCo pre-funded warrants issued in the OpCo pre-closing financing) are or will become eligible for sale in the public market to the extent permitted by the provisions of various vesting agreements and Rules 144 and 701 under the Securities Act. In addition, this prospectus is part of a registration statement covering outstanding shares of Common Stock held by certain affiliates, shares of Common Stock issued in exchange for shares of OpCo common stock issued in the OpCo pre-closing financing and shares of Common Stock issuable upon the exercise of the Pre-Funded Warrants issued in exchange for the OpCo pre-funded warrants issued in the OpCo pre-closing financing. We also intend to register shares of our Common Stock that we may issue under our equity compensation plans. Upon registration, such shares of Common Stock are expected to be freely tradable, without restriction, in the public market (other than restrictions under applicable securities laws and subject to the lock-up agreements). If any of the foregoing shares of Common Stock are sold, the trading price of our Common Stock could decline.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will have the ability to control or significantly influence all matters submitted to our stockholders for approval.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24%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the proceeds from the pre-closing financing and may invest or spend the proceeds in ways with which you do not agree and in ways that may not increase the value of your investment.</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and the proceeds from the pre-closing financing.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our stockholders. We will assess the impact of various tax reform proposals and modifications to existing tax treaties in all jurisdictions where we have operations to determine the potential effect on our business and any assumptions we will make about our future taxable income. We cannot predict whether any specific proposals will be enacted, the terms of any such proposals or what effect, if any, such proposals would have on our business if they were to be enacted. For example, the United States recently enacted the Inflation Reduction Act of 2022 (“IRA”), which implements, among other changes, a 1% excise tax on certain stock buybacks. In addition, beginning in 2022, the Tax Act eliminates the currently available option to deduct research and development expenditures and requires taxpayers to amortize them generally over five years. The U.S. Congress is considering legislation that would restore the current deductibility of research and development expenditures, however, there is no assurance that the provision will be repealed or otherwise modified. Such changes, among others, may adversely affect our effective tax rate, results of operation and general business conditions.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is expected to be limited.</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and certain other tax attributes to offset future taxable income or tax liabilities is expected to be limited. If we earn taxable income, such limitations could result in increased future income tax liability to us, and our future cash flows could be adversely affected.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our ability to use our federal and state net operating loss and credits carryforwards to reduce future taxable liabilities is dependent upon our generation of future taxable income, and we cannot predict with certainty when, or whether, we will generate sufficient taxable income or tax liabilities to use all of our carryforwards. Under current law, federal net operating loss carryforwards generated in taxable periods beginning after December 31, 2017, may be carried forward indefinitely, but for taxable years beginning after December 31, 2020 the deductibility of such net operating loss carryforwards is limited to 80% of taxable income. Federal net operating losses generated prior to December 31, 2017, however, have a 20-year carryforward period, but are not subject to the 80% limitation. Similar state law limitations may apply. In addition, under Sections 382 and 383 of the Code, federal net operating loss and credit carryforwards may become subject to an annual limitation in the event one or more stockholders or groups of stockholders who own at least 5% of a company’s stock increase their ownership by more than 50 percentage points over their lowest ownership percentage within a rolling three-year period (referred to as an “ownership change”). Similar state law limitations may apply. There may also be periods during which the use of net operating loss carryforwards and other tax attributes are suspended or otherwise limited, which could accelerate or permanently increase taxes owed.</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Following the Merger, our tax carryforwards will be attributable to both the historic pre-Merger net operating losses of Former Dianthus and the historic pre-Merger net operating losses and credits of Dianthus.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2022, Former Dianthus had net operating loss carryforwards for federal and state income tax purposes of $24.5 million and $20.1 million, respectively. The federal net operating losses will not be subject to expiration and can be carried forward indefinitely, subject to the limitations described above. The state net operating losses begin to expire in 2038. In addition, as discussed above, under Sections 382 of the Code, an ownership change for Former Dianthus may limit the amount of net operating loss carryforwards that could be utilized annually to offset future taxable income, if any. Former Dianthus has not performed an analysis to determine whether there has been such an ownership change pursuant to Sections 382 of the Code, or whether such an ownership change resulted from the Merger. Any such limitation would significantly reduce the ability to utilize net operating loss carryforwards before they expire and could have a material adverse effect on our results of operations in future years.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Merger, as of December 31, 2022, Dianthus had federal net operating loss carryforwards of $272.9 million, of which $17.5 million begin to expire in 2035 and $255.4 million can be carried forward indefinitely, subject to the limitations described above. As of December 31, 2022, Dianthus had state net operating loss carryforwards of $272.6 million, which begin to expire in 2035. As of December 31, 2022, Dianthus also had available research and orphan drug tax credit carryforwards for federal and state income tax purposes of $12.9 million and $3.4 million, respectively, which begin to expire in 2035 and 2030, respectively. Dianthus has not conducted a formal study to assess whether an ownership change has occurred or whether there have been multiple ownership changes since inception; however, the Merger is expected to result in an ownership change of Dianthus. For these reasons, Dianthus does not expect to be able to utilize a material portion of the net operating losses and research and orphan drug tax credit carryforwards.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COMBINATION OF DIANTHUS AND OPCO</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11, 2023, we completed our business combination with Dianthus Therapeutics OpCo, Inc. (“OpCo”) in accordance with the terms of the Merger Agreement, pursuant to which, among other matters, Dio Merger Sub, Inc. (“Merger Sub”) merged with and into OpCo, with OpCo surviving as a wholly owned subsidiary of the Company (the “Merger”). In connection with the completion of the Merger, we changed our name from “Magenta Therapeutics, Inc.” to “Dianthus Therapeutics, Inc.” (the “Name Change”), and the business conducted by the Company became primarily the business conducted by OpCo, which is a clinical-stage biotechnology company focused on developing next-generation complement therapeutics for patients living with severe autoimmune and inflammatory diseases. The Merger is intended to qualify for federal income tax purposes as a tax-free reorganization under the provisions of Section 368(a) of the Internal Revenue Code of 1986, as amended.</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of the Merger, Magenta effected a 1-for-16 reverse stock split of its Common Stock (the “Reverse Stock Split”). Unless noted otherwise, all references to share and per share amounts in this prospectus reflect the Reverse Stock Split.</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immediately prior to the effective time of the Merger, each share of OpCo preferred stock was converted into a share of OpCo common stock. At the effective time of the Merger, the Company issued an aggregate of 11,021,248 shares of Common Stock to OpCo stockholders, based on an exchange ratio of approximately 0.2181 shares of Common Stock for each share of OpCo capital stock, including those shares of OpCo common stock issued upon the conversion of OpCo preferred stock and those shares of OpCo common stock issued in the OpCo pre-closing financing, but excluding shares to be canceled pursuant to the Merger Agreement and dissenting shares, resulting in 14,813,295 shares of Common Stock being issued and outstanding immediately following the effective time of the Merger. The exchange ratio was determined in accordance with the Merger Agreement.</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Immediately following the completion of the Merger, the Company’s securityholders as of immediately prior to the Merger owned approximately 23% of the outstanding shares of Common Stock on a fully diluted basis and OpCo’s securityholders, including those securityholders who purchased shares of OpCo common stock and OpCo pre-funded warrants in the OpCo pre-closing financing, owned approximately 77% of the outstanding shares of the Company on a fully diluted basis (and assuming the exercise for Common Stock of any pre-funded warrants of the Company).</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the Company assumed OpCo’s Dianthus Therapeutics, Inc. 2019 Stock Plan, each outstanding and unexercised option to purchase shares of OpCo common stock immediately prior to the effective time of the Merger was assumed by the Company and converted into an option to purchase shares of Common Stock, with necessary adjustments to the number of shares and exercise price to reflect the exchange ratio, and each outstanding and unexercised warrant to purchase shares of OpCo common stock immediately prior to the effective time (including the OpCo pre-funded warrants sold in the OpCo pre-closing financing) was converted into a warrant to purchase shares of Common Stock, with necessary adjustments to the number of shares and exercise price to reflect the exchange ratio.</w:t>
      </w:r>
    </w:p>
    <w:p>
      <w:pPr>
        <w:spacing w:after="0" w:line="187"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issuance of the shares of Common Stock issued to the former stockholders of OpCo, other than shares of the Common Stock issued in exchange for shares of OpCo common stock sold in the OpCo pre-closing financing, was registered with the SEC on the Company’s registration statement on Form S-4, as amended (File No. 333-267276).</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listed on The Nasdaq Capital Market, previously trading through the close of business on Monday, September 11, 2023 under the ticker symbol “MGTA,” commenced trading on The Nasdaq Capital Market, on a post-Reverse Stock Split, post-Merger basis under the ticker symbol “DNTH” on Tuesday, September 12, 2023. The Common Stock is represented by a new CUSIP number, 252828108.</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contained herein does not purport to be complete and is qualified in its entirety by reference to the Merger Agreement, a copy of which is filed as Exhibit 2.1 to this registration statement on Form S-1 of which this prospectus is part (the “Registration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September 11, 2023, the Company entered into a contingent value rights agreement (the “CVR Agreement”) with Computershare Trust Company, N.A., a federally chartered trust company (“Rights Agent”), pursuant to which the Company’s pre-Merger holders of Common Stock were entitled to receive one non-transferable contingent value right (each, a “CVR”) for each outstanding share of Common Stock held by such stockholder as of the record time. The record time for the distribution of CVRs was immediately prior to the effective time of the Merger on September 11, 2023, and the payment date for the distribution of CVRs was September 14, 2023.</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Pursuant to the CVR Agreement, each CVR holder is entitled to certain rights to receive a pro rata portion of the proceeds, if any, received by the Company as a result of (i) contingent payments made to the Company, such as milestone, royalty or earnout, when received under</w:t>
      </w:r>
    </w:p>
    <w:p>
      <w:pPr>
        <w:ind w:left="120" w:right="220"/>
        <w:spacing w:after="0" w:line="252" w:lineRule="auto"/>
        <w:rPr>
          <w:sz w:val="20"/>
          <w:szCs w:val="20"/>
          <w:color w:val="auto"/>
        </w:rPr>
      </w:pPr>
      <w:r>
        <w:rPr>
          <w:rFonts w:ascii="Times New Roman" w:cs="Times New Roman" w:eastAsia="Times New Roman" w:hAnsi="Times New Roman"/>
          <w:sz w:val="18"/>
          <w:szCs w:val="18"/>
          <w:color w:val="auto"/>
        </w:rPr>
        <w:t>any pre-Merger disposition agreements related to the Company’s pre-Merger assets (which includes milestone payments under the April 2023 asset purchase agreements pertaining to the Company’s MGTA-145 and MGTA-45 programs and the CD117 antibodies including the clinical antibody that was used with MGTA-117) and (ii) an asset sale of the Company after the effective date of the Merger and prior to December 31, 2023, in each case, received within a three-year period following the closing of the Merger. Such proceeds are subject to certain permitted deductions, including for applicable tax payments, certain expenses incurred by the Company or its affiliates, losses incurred or reasonably expected to be incurred by the Company or its affiliates due to a third-party proceeding in connection with a disposition and certain wind-down costs.</w:t>
      </w:r>
    </w:p>
    <w:p>
      <w:pPr>
        <w:spacing w:after="0" w:line="19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CVR holders. In the event that no such proceeds are received, holders of the CVRs will not receive any payment pursuant to the CVR Agreement. There can be no assurance that any CVR holders will receive payments with respect thereto.</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is not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the Company or any of its respective affiliates. No interest will accrue on any amounts payable in respect of the CVRs.</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does not purport to be complete and is qualified in its entirety by the full text of the CVR Agreement, a copy of which is filed as Exhibit 10.1 to this Registration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September 11, 2023, the Company entered into indemnification agreements with each of its directors and executive officers (the “Indemnification Agreements”). The Indemnification Agreements, among other things, require the Company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behalf of the Company or that person’s status as a member of the Company’s board of directors (the “Board of Directors”) to the maximum extent allowed under Delaware law.</w:t>
      </w:r>
    </w:p>
    <w:p>
      <w:pPr>
        <w:spacing w:after="0" w:line="183"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forms of Indemnification Agreements, copies of which are attached hereto as Exhibit 10.4 and Exhibit 10.5 to this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Amendment</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Magenta convened and adjourned its special meeting of stockholders on September 8, 2023 (the “Special Meeting”). At the Special Meeting, Magenta’s stockholders approved an amendment to the amended and restated certificate of incorporation of the Company to effect the Reverse Stock Split. Following the Special Meeting, Magenta’s board of directors approved the Reverse Stock Split of Common Stock, at a ratio of 1:16. To effect the Reverse Stock Split and the Name Change, the Company filed a Fifth Amended and Restated Certificate of Incorporation with the Secretary of State of the State of Delaware (the “A&amp;R Charter”), with an effective time of 11:13 a.m. Eastern Time on September 11, 2023 (“A&amp;R Charter Effective Time”).</w:t>
      </w:r>
    </w:p>
    <w:p>
      <w:pPr>
        <w:spacing w:after="0" w:line="16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the A&amp;R Charter Effective Time, each 16 shares of Common Stock issued and outstanding immediately prior to the Reverse Stock Split were automatically without further action on the part of the Company or any holders of such Common Stock, reclassified, combined, converted and changed into one share of Common Stock. Immediately following the Reverse Stock Split, there were approximately 3,792,087 shares of the Common Stock issued and outstanding.</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 Reverse Stock Split. Instead, any stockholder who would otherwise be entitled to a fractional share of Common Stock as a result of the Reverse Stock Split (after aggregating all fractions of a share to which such stockholder would otherwise be entitled) is, in lieu thereof, entitled to receive a cash payment equal to the product of such resulting fractional interest in one share of Common Stock multiplied by the closing trading price on The Nasdaq Stock Market LLC of a share of Common Stock on September 8, 2023, the last trading day immediately prior to the date on which the effective time occurred. The Common Stock commenced trading on a post-Reverse Stock Split, post-Merger basis on September 12, 2023, represented by a new CUSIP number (252828108). The par value per share of Common Stock remained unchanged.</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Charter does not purport to be complete and is subject to and qualified in its entirety by the full text of the A&amp;R Charter, a copy of which is filed as Exhibit 3.1 to this Registration Statement.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PRIVATE PLACEMENT OF SHARES OF COMMON STOCK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11, 2023, OpCo completed a private placement of shares of OpCo common stock and OpCo pre-funded warrants pursuant to the subscription agreement, by and among the OpCo and the Selling Stockholders, dated as of May 2, 2023, as amended (the “Subscription Agreement”), pursuant to which, subject to the terms and conditions of the Subscription Agreement, OpCo issued and sold, and the Selling Stockholders purchased, immediately prior to the consummation of the Merger, 2,873,988 shares of OpCo common stock and 210,320 OpCo pre-funded warrants, exercisable for 210,320 shares of OpCo common stock, at a purchase price of approximately $23.34 per share or $23.34 per warrant, for an aggregate purchase price of approximately $72.0 million (the “OpCo pre-closing financing” or “pre-closing financing”).</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described above, each outstanding and unexercised OpCo pre-funded warrant to purchase shares of OpCo common stock immediately prior to the effective time was converted into a Pre-Funded Warrant, with necessary adjustments to the number of shares and exercise price to reflect the exchange ratio. The Pre-Funded Warrants have an exercise price per share equal to $0.001 per share, subject to proportional adjustments in the event of stock splits, stock dividends and certain fundamental transactions. The aggregate exercise price of the Pre-Funded Warrants, except for a nominal exercise price of $0.001 per warrant per share, was pre-funded to OpCo and, consequently, no additional consideration (other than the nominal exercise price) is required to be paid by the holder of the Pre-Funded Warrants to exercise the warrants. The Pre-Funded Warrants will not expire until exercised in full.</w:t>
      </w:r>
    </w:p>
    <w:p>
      <w:pPr>
        <w:spacing w:after="0" w:line="18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sale of the shares of OpCo common stock and the OpCo pre-funded warrants, and the shares of OpCo common stock issuable upon exercise of the OpCo pre-funded warrants, was not registered under the Securities Act, and the OpCo pre-closing financing was intended to be exempt from registration pursuant to Section 4(a)(2) of the Securities Act as a transaction by an issuer not involving a public offering. The Selling Stockholders had the intent to acquire the shares of OpCo common stock and OpCo pre-funded warrants for investment only and not with a view to or for sale in connection with any distribution thereof, and appropriate legends were affixed to the shares of OpCo common stock and OpCo pre-funded warrants issued in the OpCo pre-closing financing.</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Pre-Funded Warrants contained herein does not purport to be complete and is qualified in its entirety by the full text of the form of Pre-Funded Warrant, a copy of which is filed as Exhibit 4.1 to this Registration Statement.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11, 2023, pursuant to the Subscription Agreement, the Company, OpCo and the Selling Stockholders entered into a registration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rights agreement (the “Registration Rights Agreement”), pursuant to which, among other things, the Company agreed to provide for the registration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resale of certain shares of Common Stock that are held by the Selling Stockholders from time to time, including the shares of Common Stock issued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for shares of common stock of OpCo sold in the OpCo pre-closing financing and the shares of Common Stock issuable upon exercise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Pre-Funded Warrants assumed upon conversion of the pre-funded warrants of OpCo sold in the OpCo pre-closing financing. See the section 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Capital Stock—Registration Rights Agreement</w:t>
      </w:r>
      <w:r>
        <w:rPr>
          <w:rFonts w:ascii="Times New Roman" w:cs="Times New Roman" w:eastAsia="Times New Roman" w:hAnsi="Times New Roman"/>
          <w:sz w:val="18"/>
          <w:szCs w:val="18"/>
          <w:color w:val="auto"/>
        </w:rPr>
        <w:t>” located elsewhere in this prospectus for further information on the Registration Rights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“DNTH.”</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December 11, 2023, there were approximately 40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to pay dividends will be at the discretion of the Board of Directors and will depend upon a number of factors, including our results of operations, financial condition, future prospects, contractual restrictions and restrictions imposed by applicable laws and other factors the Board of Directors deems relevant.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82"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 the sale of the Resale Shares covered hereby. Some of the shares of Common Stock offered hereby are issuable upon the exercise of the Pre-Funded Warrants. Upon exercise of such Pre-Funded Warrants for cash, we will receive the nominal cash exercise price paid by the holders of the Pre-Funded Warrants. We intend to use those proceeds, if any, for general corporate purposes.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40"/>
          </w:cols>
          <w:pgMar w:left="320" w:top="482"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elsewhere in this prospectus. This discussion contains forward-looking statements that involve risks and uncertainties, including those described in the section titled “Cautionary Statement Concerning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complement therapeutics for patients living with severe autoimmune and inflammatory diseases. We believe our lead novel and proprietary monoclonal antibody product candidate, DNTH103, has the potential to address a broad array of complement-dependent diseases as currently available therapies or those in development leave room for improvements in efficacy, safety, and/or dosing convenience. We have purposefully engineered DNTH103 to selectively bind to only the active form of the C1s complement protein and to exhibit improved potency and an extended half-life. By selectively targeting only the active form of C1s, which drives disease pathology and constitutes only a small fraction of the total protein present in circulation, we aim to reduce the amount of drug required for a therapeutic effect. We intend to deliver our product candidate through a lower dose, less frequent, self-administered, convenient subcutaneous (“S.C.”) injection suitable for a pre-filled pen.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most advanced product candidate, DNTH103, is a clinical-stage, highly potent, highly selective and fully human monoclonal immunoglobulin G4 with picomolar binding affinity that is designed to selectively bind only to the active form of the C1s complement protein. The active form of C1s is generated during complement activation by cleavage of the inactive proenzyme C1s. As a validated complement target in the autoimmune and inflammatory field, C1s inhibition prevents further progression of the classical pathway cascade. DNTH103 is engineered with YTE half-life extension technology, a specific three amino acid change in the Fc domain, and has a pharmacokinetic profile designed to support less frequent, lower dose, self-administration as a convenient S.C. injection. Data reported in August of 2023 from DNTH103’s ongoing Phase 1 clinical trial in 52 healthy volunteers across seven dose cohorts validates the extended half-life and potent classical pathway inhibition and supports a potentially differentiated safety profile of DNTH103. The top-line data confirmed its approximately 60-day half-life and highly potent classical pathway inhibition with every two weeks (“Q2W”) S.C. dosing of 300mg/2mL surpassing the calculated IC90 of 83ug/mL, establishing DNTH103’s best-in-class potential to be the first self-administered subcutaneous injection dosed as infrequently as Q2W to treat a range of autoimmune disorders. Based on the clinical data available to date, DNTH103 was generally well tolerated with no serious adverse events or complement-related infections. DNTH103 is designed to selectively target the active form of C1s, inhibiting only the classical pathway, while leaving the lectin and alternative pathways intact. As a result, DNTH103 may have a reduced risk of infections from encapsulated bacteria when compared to C5 terminal inhibitors, thus potentially avoiding a U.S. Food and Drug Administration Boxed Warning and associated Risk Evaluation and Mitigation Strategy. We believe that DNTH103 has the potential to yield therapeutic benefit in multiple autoimmune and inflammatory disease indications where inappropriate activation of the classical pathway cascade drives or exacerbates the disease pathology by inhibiting the ability of activated C1s to effect downstream complement activity, ameliorating complement mediated cell death and disruption of normal cellular function.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Completion of the Merger and Pre-Closing Financing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September 11, 2023, we completed our business combination with Former Dianthus in accordance with the terms of the Agreement and Plan of Merger, dated as of May 2, 2023 (the “Merger Agreement”), by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among the Company, Dio Merger Sub, Inc., a Delaware corporation and a wholly owned subsidiary of the Company (“Merger Sub”), and Former Dianthus, pursuant to which, among other matters, Merger Sub merged with and into Former Dianthus, with Former Dianthus surviving as a wholly owned subsidiary of the Company (the “Merger”). In connection with the completion of the Merger, the Company changed its name from “Magenta Therapeutics, Inc.” to “Dianthus Therapeutics, Inc.,” and the business conducted by the Company became primarily the business conducted by Former Dianthus.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and in order to provide Former Dianthus with additional capital for its development programs, Former Dianthus entered into a subscription agreement, as amended (the “Subscription Agreement”), with certain investors named therein (the “Investors”), pursuant to which, subject to the terms and conditions of the Subscription Agreement, immediately prior to the effective time of the Merger, Former Dianthus issued and sold, and the Investors purchased, 2,873,988 shares of Former Dianthus common stock and 210,320 pre-funded warrants, exercisable for 210,320 shares of Former Dianthus common stock, at a purchase price of approximately $23.34 per share or $23.34 per warrant, for an aggregate purchase price of approximately $72.0 million (the “pre-closing financing”).</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See Note 1 to the unaudited condensed consolidated financial statements of Dianthus for the nine months ended September 30, 2023 and 2022 included elsewhere in this prospectus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Since its inception in 2019, Former Dianthus has devoted substantially all of its resources to conducting research and development activities (including with respect to the DNTH103 program) and undertaking preclinical studies, conducting a clinical trial and the manufacturing of the product used in its clinical trials and preclinical studies, business planning, developing and maintaining its intellectual property portfolio, hiring personnel, raising capital, and providing general and administrative support for these activities.</w:t>
      </w:r>
    </w:p>
    <w:p>
      <w:pPr>
        <w:spacing w:after="0" w:line="180"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significant laboratory or manufacturing facilities. We rely, and expect to continue to rely, on third parties for the testing and manufacture of our product candidates, as well as for commercial manufacturing should any of our product candidates obtain marketing approval. We believe this strategy allows us to maintain a more efficient infrastructure by eliminating the need to invest in our own significant laboratory and manufacturing facilities, equipment, and personnel while also enabling us to focus expertise and resources on the development of our product candidates.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date, Former Dianthus has funded its operations primarily with proceeds from the sale of capital stock and has raised aggregate gross proceeds of $193.5 million from private placements. As of September 30, 2023, we had cash, cash equivalents and short-term investments of $189.9 million. Based on our current operating plans, we believe our cash resources will be sufficient to fund our operations into the second quarter of 2026. Until we achieve profitability, we plan to fund our operations and capital expenditures with cash on hand and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There can be no assurance that we will be successful in raising additional capital or that such capital, if available, will be on terms that are acceptable to us. If we are unable to raise sufficient additional capital, we may be compelled to consider actions such as reducing the scope of our operations and planned capital expenditures or sell certain assets, including intellectual property assets.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significant recurring losses. We generated net losses of $14.8 million and $33.0 million for the three and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2023, respectively, and $28.5 million and $13.1 million for the years ended December 31, 2022 and 2021, respectively.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2023, we had an accumulated deficit of $78.9 million. Our net losses may fluctuate significantly from quarter-to-quarter and year-to-year,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depending on a variety of factors, including the timing, scope and results of our research and development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activities. We expect our expenses and capital requirements will increase substantially in connection with our ongoing activities, if and as we:</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DNTH103 program through clinical development, including in any additional indications;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discovery programs from preclinical development into and through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clinical, scientific, management and administrative teams;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 including patents, trade secrets and know-how;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do not have any products approved for commercial sale and we have not generated any commercial revenue from product sales. Our ability to generate product revenue sufficient to achieve and maintain profitability will depend upon the successful development and eventual commercialization of DNTH103 or any future product candidates, which we expect, if it ever occurs, will take many years. We expect to spend a significant amount on development and marketing costs prior to such time. We will therefore require substantial additional capital to develop DNTH103 and any future product candidates and to support our continuing operations. We may never succeed in achieving regulatory and marketing approval for DNTH103 or any future product candidates. We may obtain unexpected results from our preclinical and clinical trials. We may elect to discontinue, delay, or modify preclinical and clinical trials of DNTH103 or any future product candidates. A change in the outcome of any of these variables with respect to the development of a product candidate could mean a significant change in the costs and timing associated with the development of that product candidate. Accordingly, until such time that we can generate a sufficient amount of revenue from product sales or other sources, if ever, we expect to finance our operations through private or public equity or debt financings, loans or other capital sources, which could include income from collaborations, partnerships or other marketing, distribution, licensing or other strategic arrangements with third parties, or from grants. However, we may be unable to raise additional capital from these sources on favorable terms, or at all. Our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We cannot provide assurance that we will ever generate positive cash flow from operating activities. See the section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and Macroeconomic Developments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increases in inflation, rising interest rates, general economic slowdown or a recession, changes in foreign currency exchange rates, recent bank failures, the prospect of a shutdown of the U.S. federal government, geopolitical factors, including rising tensions between China and Taiwan, conflict in Israel and surrounding areas and the ongoing conflict between Russia and Ukraine and the responses thereto, pandemics or other public health crises, such as the COVID-19 pandemic, and supply chain disruptions. While we are closely monitoring the impact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current macroeconomic conditions on all aspects of our business, including the impacts on participants in our clinical trials, employees, suppliers, vendors, business partners and regulators, the ultimate extent of the impact on our business remains highly uncertain and will depend on future developments and factors that continue to evolve. Most of these developments and factors are outside of our control and could exist for an extended period of time. We will continue to evaluate the nature and extent of the potential impacts to Dianthus’ business, results of operations, liquidity and capital resources. For additional information,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found elsewhere in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we do not expect to generate any revenue from the sales of products in the foreseeable future.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party to an option agreement and license agreement with Zenas BioPharma, a related party. In September 2020, we entered into an option agreement with Zenas BioPharma (“Zenas Option”), through which we provided Zenas BioPharma an option to enter into an exclusive license agreement for the development and commercialization of products arising from our research of monoclonal antibody antagonists targeting certain specific complement proteins. In June 2022, we and Zenas BioPharma executed a license agreement (“Zenas License Agreement”). The Zenas Option and Zenas License Agreement are collectively referred to as the “Zenas Agreements.” The Zenas License Agreement provides Zenas BioPharma with a license in the People’s Republic of China, including Hong Kong, Macau, and Taiwan (collectively, “greater China”), for the development and commercialization of sequences and products under the first antibody sequence.</w:t>
      </w:r>
    </w:p>
    <w:p>
      <w:pPr>
        <w:spacing w:after="0" w:line="18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the Zenas Agreements, the consideration payable by Zenas Biopharma includes the following: (i) a $1.0 million upfront payment upon execution of the Zenas License Agreement; (ii) an approximate $1.1 million payment representing reimbursement for a portion of development costs previously incurred by us; (iii) reimbursement of a portion of costs related to chemistry, manufacturing and control (“CMC”) and expenses for the first antibody sequence through the manufacture of the first two batches of drug product; (iv) reimbursement of a portion of non-CMC-related costs and expenses for the development of the first antibody sequence through the first regulatory approval; (v) development milestones totaling up to $11.0 million; and (vi) royalties on net sales ranging from mid-single digits to low teen percentages.</w:t>
      </w:r>
    </w:p>
    <w:p>
      <w:pPr>
        <w:spacing w:after="0" w:line="18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determined that there is one combined performance obligation that consists of the license and data transfer, the CMC and non-CMC services, and the participation in a joint steering committee, and that the combined performance obligation is satisfied over time. Therefore, we will recognize the transaction price from the license agreement over our estimated period to complete our activities. We concluded that we would utilize a cost-based input method to measure our progress toward completion of our performance obligation and to calculate the corresponding amount of revenue to recognize each period. We believe this is the best measure of progress because other measures do not reflect how we transfer our performance obligation to Zenas Biopharma. In applying the cost-based input method of revenue recognition, we use actual costs incurred relative to budgeted costs expected to be incurred for the combined performance obligation. These costs consist primarily of third-party contract costs. Revenue will be recognized based on the level of costs incurred relative to the total budgeted costs for the performance obligations. A cost-based input method of revenue recognition requires us to make estimates of costs to complete the performance obligation. In making such estimates, judgment is required to evaluate assumptions related to cost estimates.</w:t>
      </w:r>
    </w:p>
    <w:p>
      <w:pPr>
        <w:spacing w:after="0" w:line="194"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There is a sales or usage-based royalty exception within ASC 606 that applies when a license of intellectual property is the predominant item to which the royalty relates. In accordance with this royalty exception, we will recognize royalty revenue at the later of (i) when the related sales occur, or</w:t>
      </w:r>
    </w:p>
    <w:p>
      <w:pPr>
        <w:spacing w:after="0" w:line="1" w:lineRule="exact"/>
        <w:rPr>
          <w:sz w:val="20"/>
          <w:szCs w:val="20"/>
          <w:color w:val="auto"/>
        </w:rPr>
      </w:pPr>
    </w:p>
    <w:p>
      <w:pPr>
        <w:ind w:left="120" w:right="1060" w:hanging="4"/>
        <w:spacing w:after="0" w:line="260"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performance obligation to which some or all of the royalty has been allocated has been satisfied (or partially satisfied). As of September 30, 2023 and December 31, 2022, no royalty revenue has been recognized.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also determined that the milestone payments of $11.0 million are variable consideration under ASC 606, which need to be added to the transaction price when it is probable that a significant revenue reversal will not occur. Based on the nature of the milestones, such as the regulatory approvals which are generally not within our control, we will not consider achievement of this milestone to be probable until the uncertainty associated with such milestone has been resolved. When it is probable that a significant reversal of revenue will not occur, the milestone payment will be added to the transaction price for which we recognize revenue. As of September 30, 2023 and December 31, 2022, no milestones had been achieved.</w:t>
      </w:r>
    </w:p>
    <w:p>
      <w:pPr>
        <w:spacing w:after="0" w:line="16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2023, we recognized related party license revenue totaling $0.9 million and $2.4 million, respectively, associated with the Zenas Agreements. For the three and nine months ended September 30, 2022, we recognized related party license revenue totaling $1.2 million and $5.2 million, respectively, associated with the Zenas Agreements. For the years ended December 31, 2022 and 2021, we recognized related party license revenue totaling $6.4 million and $1.5 million, respectively, associated with the Zenas Agreements.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our development efforts for DNTH103 or any future product candidates are successful and result in regulatory approval, we may generate revenue from future product sales. If we enter into license or collaboration agreements for DNTH103 or any future product candidates or intellectual property, revenue may be generated in the future from such license or collaboration agreements. We cannot predict if, when, or to what extent we will generate revenue from the commercialization and sale of DNTH103 or any future product candidates or from license or collaboration agreements. We may never succeed in obtaining regulatory approval for DNTH103 or any future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expenses incurred in connection with the discovery and development of DNTH103 and other potential product candidates.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31" w:lineRule="exact"/>
        <w:rPr>
          <w:sz w:val="20"/>
          <w:szCs w:val="20"/>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research and development, including agreements with third parties such as CROs, clinical trial sites and consultants;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clinical and preclinical studies, including payments to contract development and manufacturing organizations CDMOs and consultants;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other potential product candidates, including for outsourced professional scientific development services, consulting research and collaborative research.</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31" w:lineRule="exact"/>
        <w:rPr>
          <w:sz w:val="20"/>
          <w:szCs w:val="20"/>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related benefits and stock-based compensation expenses for employees engaged in research and development functions;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facilities-related expenses, depreciation, supplies, travel expenses and other allocated expenses.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recognize research and development expenses in the periods in which they are incurred. Our internal resources, employees and infrastructure are not directly tied to any one research or drug discovery program and are typically deployed across multiple programs. External expenses are recognized based on an evaluation of the progress to completion of specific tasks using information provided to us by our service providers or our estimate of the level of service that has been performed at each reporting date. We utilize CROs for research and</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320" w:top="482" w:right="5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development activities and CDMOs for manufacturing activities and we do not have significant laboratory or manufacturing facilities. Therefore, we have no material facilities expenses attributed to research and development.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development generally have higher development costs than those in earlier stages. As a result, we expect that our research and development expenses will increase substantially over the next several years as we advance DNTH103 into larger and later-stage clinical trials, work to discover and develop additional product candidates, seek to expand, maintain, protect and enforce our intellectual property portfolio, and hire additional research and development personnel.</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successful development of DNTH103 or any future product candidates is highly uncertain, and we do not believe it is possible at this time to accurately project the nature, timing and estimated costs of the efforts necessary to complete the development of, and obtain regulatory approval for, DNTH103 or any future product candidates. To the extent DNTH103 or any future product candidates continue to advance into larger and later-stage clinical trials, our expenses will increase substantially and may become more variable. The duration, costs and timing of development of DNTH103 or any future product candidates are subject to numerous uncertainties and will depend on a variety of factors, including:</w:t>
      </w:r>
    </w:p>
    <w:p>
      <w:pPr>
        <w:spacing w:after="0" w:line="8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favorable safety profile with IND-enabling toxicology studies to enable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larger and later-stage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subject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clinical trials required for regulatory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our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that participate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and discontinuation rate of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subject participation in clinical trials and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encounter any serious adverse events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marketing approvals and post-marketing approval commitments from applicable regulatory authorities;</w:t>
      </w:r>
    </w:p>
    <w:p>
      <w:pPr>
        <w:spacing w:after="0" w:line="142"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collaborations, strategic partnerships, or other strategic arrangements with third parties, if any, and the performance of any such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research and development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arrangements with our CDMOs and CROs;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 launch;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impact the costs, timing and viability associated with the development of DNTH103 or any future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bonuses, related benefits, and stock-based compensation expense for personnel in executive, finance, and administrative functions; professional fees for legal, consulting, accounting, and audit services; and travel expenses, technology costs and other allocated expenses. General and administrative expenses also include corporate facility costs, including insurance, rent, utilities, depreciation, and maintenance, not otherwise included in research and development expenses. We recognize general and administrative expenses in the periods in which they are incurred.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our continued research and development activities, pre-commercial preparation activities for the product candidates and, if any product candidate receives marketing approval, commercialization activities. In addition, we anticipate that we will incur additional expenses associated with being a public company, including expenses related to accounting, audit, legal, regulatory, public company reporting and compliance, director and officer insurance, investor and public relations, and other administrative and professional services.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generated from earnings on invested cash equivalents and short-term investments.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not recorded any U.S. federal or state income tax benefits for the net losses we have incurred in each year or for our earned research tax credits due to uncertainty of realizing a benefit from those items. We maintain a full valuation allowance on our federal and state deferred tax assets as we have concluded that it is more likely than not that the deferred assets will not be utilized.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and other comprehensive loss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924</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7,960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8,723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(15,759)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(Loss)/gain on currency exchange, net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(14,763)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(14,763)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unrealized losses related to available-for-sale debt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(14,748)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Revenue—Related Party</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Zenas Agreements, we recognized related party license revenue of $0.9 million and $1.2 million during the three months ended September 30, 2023 and 2022, respectively. The decrease was due to a decreased amount of CMC reimbursement due from Zenas Biopharma during the three months ended September 30, 2023 as a result of the substantial completion of the manufacture of the first two batches of drug product for the DNTH103 program in late 2022.</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320" w:top="482"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w:t>
      </w:r>
    </w:p>
    <w:p>
      <w:pPr>
        <w:spacing w:after="0" w:line="24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DNTH103 program-related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Preclinical study costs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CMC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Clinical operation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Third-party consulting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License and milestone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5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DNTH103 program-related expenses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Discovery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60" w:type="dxa"/>
            <w:vAlign w:val="bottom"/>
            <w:shd w:val="clear" w:color="auto" w:fill="CCEEFF"/>
          </w:tcPr>
          <w:p>
            <w:pPr>
              <w:spacing w:after="0"/>
              <w:rPr>
                <w:sz w:val="18"/>
                <w:szCs w:val="18"/>
                <w:color w:val="auto"/>
              </w:rPr>
            </w:pPr>
          </w:p>
        </w:tc>
      </w:tr>
      <w:tr>
        <w:trPr>
          <w:trHeight w:val="22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$8.0 million for the three months ended September 30, 2023, as compared to $7.2 million for the three months ended September 30, 2022, an increase of $0.8 million. This increase was due to (1) a $1.0 million increase in internal research and development costs, consisting of personnel and related costs, share-based compensation, and other costs and (2) a $0.2 million decrease in external research and development costs, consisting of preclinical study costs, CMC activities, third-party consulting services, clinical operation activities, license and milestone payments and discovery activities.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million increase in internal research and development costs was due to a $0.7 million increase in personnel and related costs, a</w:t>
      </w:r>
    </w:p>
    <w:p>
      <w:pPr>
        <w:spacing w:after="0" w:line="27" w:lineRule="exact"/>
        <w:rPr>
          <w:sz w:val="20"/>
          <w:szCs w:val="20"/>
          <w:color w:val="auto"/>
        </w:rPr>
      </w:pPr>
    </w:p>
    <w:p>
      <w:pPr>
        <w:ind w:left="120" w:right="160"/>
        <w:spacing w:after="0" w:line="290" w:lineRule="auto"/>
        <w:rPr>
          <w:sz w:val="20"/>
          <w:szCs w:val="20"/>
          <w:color w:val="auto"/>
        </w:rPr>
      </w:pPr>
      <w:r>
        <w:rPr>
          <w:rFonts w:ascii="Times New Roman" w:cs="Times New Roman" w:eastAsia="Times New Roman" w:hAnsi="Times New Roman"/>
          <w:sz w:val="17"/>
          <w:szCs w:val="17"/>
          <w:color w:val="auto"/>
        </w:rPr>
        <w:t>$0.2 million increase in share-based compensation, and a $0.1 million increase in other costs. The increases were primarily due to the expansion of the research and development function with additional headcount to support the Phase 1 clinical trial activities of our lead product candidate, DNTH103.</w:t>
      </w:r>
    </w:p>
    <w:p>
      <w:pPr>
        <w:spacing w:after="0" w:line="15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$0.2 million decrease in external research and development costs was due to a $0.1 million decrease in expenses related to our lead product candidate, DNTH103 and a $0.1 million decrease in discovery activities. For the three months ended September 30, 2023, as compared to the same period in 2022, there were decreases related to DNTH103 of $1.2 million in CMC activities and $0.2 million in preclinical study costs, partially offset by increases related to DNTH103 of $0.9 million in clinical operations activity costs, $0.3 million in third-party consulting services and $0.1 million in license and milestone payments. The decreased amount of CMC activities resulted from the substantial completion of the manufacture of the first two batches of drug product for the DNTH103 program in late 2022. The decreased amount of preclinical study costs resulted from substantial completion of our chronic toxicology study related to DNTH103 in the third quarter of 2023. The increased amount of clinical operations activity costs resulted from the commencement of the Phase 1 clinical trial in November 2022. The increased amount of third-party consulting services in the third quarter of 2023 resulted from increased regulatory activities in support of clinical trials. The increased amount of license and milestone payments resulted from an additional license payment in the third quarter of 2023. The $0.1 million decrease in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discovery expenses related to limited development activities of potential molecules beyond DNTH103 in the third quarter of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$8.7 million for the three months ended September 30, 2023, as compared to $2.2 million for the three months ended September 30, 2022, an increase of $6.5 million. The increase was primarily due to increases of $0.6 million in personnel-related costs, $4.0 million in severance costs related to former employees of Magenta, $0.3 million in share-based compensation, $0.3 million in professional services costs, and $1.3 million in director and officer insurance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federal and state jurisdictions in which we conduct business. We maintain a full valuation allowance on our federal and state deferred tax assets as we have concluded that it is more likely than not that the deferred assets will not be utilized.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and other comprehensive loss for the periods indicated:</w:t>
      </w:r>
    </w:p>
    <w:p>
      <w:pPr>
        <w:spacing w:after="0" w:line="246"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5,242</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19,548</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4,706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24,254</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(35,218)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(19,012)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on currency exchange,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(32,992</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(32,992)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(18,360)</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unrealized losses related to available-for-sale debt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(32,835</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Revenue—Related Party</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Zenas Agreements, we recognized related party license revenue of $2.4 million and $5.2 million during the nine months ended September 30, 2023 and 2022, respectively. The decrease was due 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decreased amount of CMC reimbursement due from Zenas BioPharma in the first nine months of 2023 as a result of the substantial completion of the manufacture of the first two batches of drug product for the DNTH103 program in late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w:t>
      </w:r>
    </w:p>
    <w:p>
      <w:pPr>
        <w:spacing w:after="0" w:line="246"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DNTH103 program-related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Preclinical study costs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CMC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Clinical operation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Third-party consulting services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License and milestone payments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DNTH103 program-related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15,192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15,193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Discovery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16,301</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16,043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costs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shd w:val="clear" w:color="auto" w:fill="CCEEFF"/>
          </w:tcPr>
          <w:p>
            <w:pPr>
              <w:spacing w:after="0"/>
              <w:rPr>
                <w:sz w:val="18"/>
                <w:szCs w:val="18"/>
                <w:color w:val="auto"/>
              </w:rPr>
            </w:pPr>
          </w:p>
        </w:tc>
      </w:tr>
      <w:tr>
        <w:trPr>
          <w:trHeight w:val="22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24,060</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19,548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$24.1 million for the nine months ended September 30, 2023, as compared to $19.5 million for the nine months ended September 30, 2022, an increase of $4.6 million. This increase was due to (1) a $4.3 million increase in internal research and development costs, consisting of personnel and related costs, share-based compensation, and other costs and (2) a $0.3 million increase in external research and development costs, consisting of preclinical study costs, CMC activities, third-party consulting services, clinical operation activities, license and milestone payments and discovery activities.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$4.3 million increase in internal research and development costs was due to a $3.6 million increase in personnel and related costs, a</w:t>
      </w:r>
    </w:p>
    <w:p>
      <w:pPr>
        <w:spacing w:after="0" w:line="27" w:lineRule="exact"/>
        <w:rPr>
          <w:sz w:val="20"/>
          <w:szCs w:val="20"/>
          <w:color w:val="auto"/>
        </w:rPr>
      </w:pPr>
    </w:p>
    <w:p>
      <w:pPr>
        <w:ind w:left="120" w:right="160"/>
        <w:spacing w:after="0" w:line="290" w:lineRule="auto"/>
        <w:rPr>
          <w:sz w:val="20"/>
          <w:szCs w:val="20"/>
          <w:color w:val="auto"/>
        </w:rPr>
      </w:pPr>
      <w:r>
        <w:rPr>
          <w:rFonts w:ascii="Times New Roman" w:cs="Times New Roman" w:eastAsia="Times New Roman" w:hAnsi="Times New Roman"/>
          <w:sz w:val="17"/>
          <w:szCs w:val="17"/>
          <w:color w:val="auto"/>
        </w:rPr>
        <w:t>$0.5 million increase in share-based compensation, and a $0.2 million increase in other costs. The increases were primarily due to the expansion of the research and development function with additional headcount to support the Phase 1 clinical trial activities of our lead product candidate, DNTH103.</w:t>
      </w:r>
    </w:p>
    <w:p>
      <w:pPr>
        <w:spacing w:after="0" w:line="15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$0.3 million increase in external research and development costs was due to a $0.3 million increase in discovery activities while expenses related to our lead product candidate, DNTH103 were substantially unchanged. The $0.3 million increase in discovery expenses related to development activities of potential molecules beyond DNTH103 in the first nine months of 2023. For the first nine months of 2023, as compared to the same period in 2022, there were increases related to DNTH103 of $3.2 million in preclinical study costs and $2.2 million in clinical operations activity costs, substantially offset by decreases related to DNTH103 of $5.3 million in CMC activities and $0.1 million in license and milestone payments. The increased amount of preclinical study costs resulted from increased toxicology activities related to DNTH103 in the first nine months of 2023. The increased amount of clinical operations activity costs resulted from the commencement of the Phase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1 clinical trial in November 2022. The decreased amount of CMC activities resulted from the substantial completion of the manufacture of the first two batches of drug product for the DNTH103 program in late 2022. The decreased amount of license and milestone payments resulted from an additional license payment in 2022.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$13.5 million for the nine months ended September 30, 2023, as compared to $4.7 million for the nine months ended September 30, 2022, an increase of $8.8 million. The increase was primarily due to increases of $1.7 million in personnel-related costs, $4.0 million in severance costs related to former employees of Magenta, $0.7 million in share-based compensation, $0.7 million in professional services costs, $1.3 million in director and officer insurance costs and $0.4 million in other general and administrative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federal and state jurisdictions in which we conduct business. We maintain a full valuation allowance on our federal and state deferred tax assets as we have concluded that it is more likely than not that the deferred assets will not be utilized.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and other comprehensive loss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6,417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29,379</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6,743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(29,705)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currency exchange, net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income/(expense)</w:t>
            </w:r>
          </w:p>
        </w:tc>
        <w:tc>
          <w:tcPr>
            <w:tcW w:w="1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(28,476)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(28,476)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related to available-for-sale debt securities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(28,637)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Revenue—Related Party</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Zenas Agreements, we recognized related party license revenue of $6.4 million and $1.5 million during the years ended December 31, 2022 and 2021, respectively. The increase was due to an increased amount of research and development reimbursement from Zenas Biopharma as a result of the increased activities for the DNTH103 program during the year ended December 31,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DNTH103 program-related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Preclinical/IND-enabling studies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CMC activities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Clinical operation activities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Third-party consulting services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License and milestone payments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0" w:type="dxa"/>
            <w:vAlign w:val="bottom"/>
          </w:tcPr>
          <w:p>
            <w:pPr>
              <w:spacing w:after="0"/>
              <w:rPr>
                <w:sz w:val="19"/>
                <w:szCs w:val="19"/>
                <w:color w:val="auto"/>
              </w:rPr>
            </w:pPr>
          </w:p>
        </w:tc>
        <w:tc>
          <w:tcPr>
            <w:tcW w:w="79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DNTH103 program-related expenses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Discovery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2,464</w:t>
            </w:r>
          </w:p>
        </w:tc>
      </w:tr>
      <w:tr>
        <w:trPr>
          <w:trHeight w:val="230"/>
        </w:trPr>
        <w:tc>
          <w:tcPr>
            <w:tcW w:w="20" w:type="dxa"/>
            <w:vAlign w:val="bottom"/>
          </w:tcPr>
          <w:p>
            <w:pPr>
              <w:spacing w:after="0"/>
              <w:rPr>
                <w:sz w:val="20"/>
                <w:szCs w:val="20"/>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0" w:type="dxa"/>
            <w:vAlign w:val="bottom"/>
          </w:tcPr>
          <w:p>
            <w:pPr>
              <w:spacing w:after="0"/>
              <w:rPr>
                <w:sz w:val="19"/>
                <w:szCs w:val="19"/>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costs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r>
      <w:tr>
        <w:trPr>
          <w:trHeight w:val="22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$29.4 million for the year ended December 31, 2022, as compared to $12.6 million for the year ended December 31, 2021, an increase of $16.8 million. This increase was due to (1) a $11.7 million increase in external research and development costs, consisting of preclinical study costs, CMC activities, third-party consulting services, clinical operation activities, license and milestone payments and discovery activities and (2) a $5.1 million increase in internal research and development costs, consisting of personnel and related costs, share-based compensation, and other costs.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$11.7 million increase in external research and development costs was primarily due to the activities related to our lead product candidate, DNTH103, including a $3.9 million increase in preclinical study costs, a $6.8 million increase in CMC activities, a $0.5 million increase in clinical activities, a $0.6 million increase in third-party consulting services and a $1.2 million increase in license and milestone payments, partially offset by a $1.3 million decrease in discovery activities, as DNTH103 moved from the discovery stage to the preclinical and clinical stage in mid-2021. We commenced a Phase 1 clinical trial of DNTH103 in November 2022 and in August of 2023 reported preliminarily topline results.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$5.1 million increase in internal research and development costs was primarily due to a $4.3 million increase in personnel-related costs, a $0.4 million increase in share-based compensation, and a $0.4 million increase in other costs. The increases were primarily due to building out the research and development function with additional headcount.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$6.7 million for the year ended December 31, 2022, as compared to $2.0 million for the year ended December 31, 2021, an increase of $4.7 million. The increase was primarily due to an increase of $2.8 million in personnel and related costs,</w:t>
      </w:r>
    </w:p>
    <w:p>
      <w:pPr>
        <w:jc w:val="center"/>
        <w:ind w:right="180"/>
        <w:spacing w:after="0" w:line="433" w:lineRule="auto"/>
        <w:rPr>
          <w:sz w:val="20"/>
          <w:szCs w:val="20"/>
          <w:color w:val="auto"/>
        </w:rPr>
      </w:pPr>
      <w:r>
        <w:rPr>
          <w:rFonts w:ascii="Times New Roman" w:cs="Times New Roman" w:eastAsia="Times New Roman" w:hAnsi="Times New Roman"/>
          <w:sz w:val="18"/>
          <w:szCs w:val="18"/>
          <w:color w:val="auto"/>
        </w:rPr>
        <w:t>$1.1 million increase in share-based compensation, $0.3 million increase in professional services costs, $0.4 million in office and related expenses 66</w:t>
      </w:r>
    </w:p>
    <w:p>
      <w:pPr>
        <w:sectPr>
          <w:pgSz w:w="11900" w:h="16838" w:orient="portrait"/>
          <w:cols w:equalWidth="0" w:num="1">
            <w:col w:w="10940"/>
          </w:cols>
          <w:pgMar w:left="320" w:top="482"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$0.1 million in other costs. The increases were primarily due to building out the general and administrative function with additional headcount.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federal and state jurisdictions in which we conduct business. We maintain a full valuation allowance on our federal and state deferred tax assets as management has concluded that it is more likely than not that the deferred assets will not be utilized.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lead product candidate, DNTH103, or any future product candidates. We expect that our research and development and general and administrative costs will continue to increase significantly, including in connection with conducting clinical trials and manufacturing for our lead product candidate or any future product candidates to support potential future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found elsewhere in this prospectus for additional risks associated with our substantial capital requirements.</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To date, Former Dianthus funded its operations primarily through private placements of capital stock for gross proceeds of $193.5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We do not expect to generate any meaningful product revenue unless and until we obtain regulatory approval of and commercialize DNTH103 or any future product candidates, and we do not know when, or if, that will occur. Until we can generate significant revenue from product sales, if ever, we will continue to require substantial additional capital to develop DNTH103 or any future product candidates and fund operations for the foreseeable future. We expect our expenses to increase in connection with our ongoing activities as described in greater detail below. We are subject to all the risks incident in the development of new biopharmaceutical products, and we may encounter unforeseen expenses, difficulties, complications, delays, and other unknown factors that may harm our business.</w:t>
      </w:r>
    </w:p>
    <w:p>
      <w:pPr>
        <w:spacing w:after="0" w:line="18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DNTH103 or any future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if ever, we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recent bank failures, other general macroeconomic conditions and otherwise. The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cannot provide assurance that we will ever generate positive cash flow from operating activities.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date, Former Dianthus has funded its operations primarily with proceeds from the sale of capital stock and has raised aggregate gross proceeds of $193.5 million from private placements. However, we have incurred significant recurring losses. We had an accumulated deficit of $78.9 million as of September 30, 2023. As of September 30, 2023, we had cash, cash equivalents and short-term investments of $189.9 million, which we believe, based on current operating plans, will be sufficient to fund our operations into the second quarter of 2026. Until we achieve profitability, we plan to fund our operations and capital expenditures with cash on hand and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There can be no assurance that we will be successful in raising additional capital or that such capital, if available, will be on terms that are acceptable to us. If we are unable to raise sufficient additional capital, we may be compelled to consider actions such as reducing the scope of our operations and planned capital expenditures or sell certain assets, including intellectual property assets.</w:t>
      </w:r>
    </w:p>
    <w:p>
      <w:pPr>
        <w:spacing w:after="0" w:line="19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based projections of operating capital requirements on our current operating plan, which includes several assumptions that may prove to be incorrect, and we may use all of our available capital resources sooner than we expect.</w:t>
      </w:r>
    </w:p>
    <w:p>
      <w:pPr>
        <w:spacing w:after="0" w:line="162"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spacing w:after="0" w:line="45" w:lineRule="exact"/>
        <w:rPr>
          <w:sz w:val="20"/>
          <w:szCs w:val="20"/>
          <w:color w:val="auto"/>
        </w:rPr>
      </w:pPr>
    </w:p>
    <w:p>
      <w:pPr>
        <w:ind w:left="1080" w:right="4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DNTH103, and conducting larger and later-stage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other product candidates that we may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product candidates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derive value from collaborations, partnerships or other marketing, distribution, licensing, or other strategic arrangements with third parties on favorable terms, if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September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6"/>
          </w:tcPr>
          <w:p>
            <w:pPr>
              <w:jc w:val="right"/>
              <w:ind w:right="10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(59,819)</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138,439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96,676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96,676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14,912</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consisted of a net loss of $33.0 million, partially offset by a decrease in net operating assets and liabilities of $6.5 million and net non-cash operating expenses of $1.5 million. The decrease in net operating assets and liabilities was primarily attributable to decreases in receivable from Zenas BioPharma of $4.5 million, unbilled receivable from Zenas BioPharma of $0.4 million and prepaid expenses and other current assets of $2.5 million, partially offset by a decrease in accounts payable, accrued expenses and lease liabilities of $0.9 million. The non-cash operating expenses consisted mainly of stock-based compensation expense of $2.2 million and amortization of right-of-use lease assets of $0.2 million, partially offset by accretion of discount on short-term investments of $0.9 million.</w:t>
      </w:r>
    </w:p>
    <w:p>
      <w:pPr>
        <w:spacing w:after="0" w:line="18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consisted of a net loss of $18.4 million and an increase in net operating assets and liabilities of $2.7 million, partially offset by net non-cash operating expenses of $0.9 million. The increase in net operating assets and liabilities was primarily due to increases in receivable from Zenas BioPharma of $1.1 million, unbilled receivable from Zenas BioPharma of</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$1.9 million and prepaid expenses and other current assets of $0.9 million, partially offset by increases in accounts payable, accrued expenses and lease liabilities of $0.3 million and deferred revenue from Zenas BioPharma of $0.9 million. The non-cash operating expenses consisted mainly of stock-based compensation expense of $1.0 million and amortization of right-of-use lease assets of $0.1 million, partially offset by accretion of discount on short-term investments of $0.2 million.</w:t>
      </w:r>
    </w:p>
    <w:p>
      <w:pPr>
        <w:spacing w:after="0" w:line="18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consisted of a net loss of $28.5 million and an increase in net operating assets and liabilities of $1.7 million, partially offset by net non-cash operating expenses of $1.1 million. The increase in net operating assets and liabilities was primary attributable to increases in receivable from related party of $4.2 million and prepaid expenses and other current assets of $0.7 million, partially offset by increases in accounts payable, accrued expenses and lease liabilities of $2.3 million and deferred revenue of</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$0.9 million. The non-cash operating expenses consisted mainly of stock-based compensation expense of $1.5 million and amortization of right-of-use lease assets of $0.1 million, partially offset by accretion on short-term investments of $0.6 million.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cash used in operating activities consisted of a net loss of $13.1 million, partially offset by a decrease in net operating assets and liabilities of $3.1 million. The decrease in net operating assets and liabilities was primarily due to an increase in accounts payable and accrued expenses of $4.9 million, partially offset by increases in receivable from related party of $0.5 million, unbilled receivable from related party of $1.0 million and prepaid expenses and other current assets of $0.3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investing activities consisted of $59.8 million of proceeds from maturities of short-term investments, partially offset by $31.2 million of purchases of short-term investments and $100,000 of capital expenditures.</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consisted of $47.0 million of purchases of short-term investments and $110,000 of capital expenditures.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consisted of $61.7 million of purchases of short-term investments and $0.1 million of capital expenditures, partially offset by $2.0 million of proceeds from maturities of short-term investments.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consisted of $33,000 of capital expenditures.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financing activities primarily consisted of proceeds of $72.0 million from the sale of shares of Former Dianthus common stock in the pre-closing financing and net cash acquired in connection with the reverse recapitalization of $69.7 million, partially offset by $3.3 million of reverse recapitalization transactions costs.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financing activities consisted of $100.0 million of proceeds from the issuance of Former Dianthus Series A convertible preferred stock, partially offset by $3.3 million of issuance costs.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consisted of $96.7 million of net proceeds from the issuance of the Dianthus Series A convertible preferred stock.</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consisted of $14.9 million of net proceeds from the issuance of the Dianthus Series Seed 2 convertible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lease space under operating leases agreements for administrative offices in New York, New York, and Waltham, Massachusetts and wet laboratory space in Watertown, Massachusetts, which expire in August 2025, January 2025 and August 2025,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September 30, 2023 (in millions):</w:t>
      </w:r>
    </w:p>
    <w:p>
      <w:pPr>
        <w:spacing w:after="0" w:line="246"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wp:posOffset>
            </wp:positionV>
            <wp:extent cx="1491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left="8300"/>
        <w:spacing w:after="0"/>
        <w:tabs>
          <w:tab w:leader="none" w:pos="8960" w:val="left"/>
          <w:tab w:leader="none" w:pos="964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48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4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lease obligation</w:t>
            </w:r>
          </w:p>
        </w:tc>
        <w:tc>
          <w:tcPr>
            <w:tcW w:w="29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w w:val="95"/>
              </w:rPr>
              <w:t>$0.1</w:t>
            </w:r>
          </w:p>
        </w:tc>
        <w:tc>
          <w:tcPr>
            <w:tcW w:w="680" w:type="dxa"/>
            <w:vAlign w:val="bottom"/>
            <w:gridSpan w:val="3"/>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680" w:type="dxa"/>
            <w:vAlign w:val="bottom"/>
            <w:gridSpan w:val="3"/>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540" w:type="dxa"/>
            <w:vAlign w:val="bottom"/>
            <w:tcBorders>
              <w:right w:val="single" w:sz="8" w:color="CCEEFF"/>
            </w:tcBorders>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$0.7</w:t>
            </w: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and Manufacturing Agreements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enter into agreements with certain vendors for the provision of goods and services, which includes manufacturing services with CDMOs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Agreements</w:t>
      </w:r>
    </w:p>
    <w:p>
      <w:pPr>
        <w:spacing w:after="0" w:line="119"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In August 2019, Former Dianthus entered into a license agreement with Alloy Therapeutics, LLC (“Alloy”) for (i) a worldwide, non-exclusive license to use the Alloy technology solely to generate Alloy antibodies and platform assisted antibodies for internal, non-clinical research purposes, and</w:t>
      </w:r>
    </w:p>
    <w:p>
      <w:pPr>
        <w:spacing w:after="0" w:line="1" w:lineRule="exact"/>
        <w:rPr>
          <w:sz w:val="20"/>
          <w:szCs w:val="20"/>
          <w:color w:val="auto"/>
        </w:rPr>
      </w:pPr>
    </w:p>
    <w:p>
      <w:pPr>
        <w:ind w:left="120" w:hanging="4"/>
        <w:spacing w:after="0" w:line="253"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Alloy antibodies and platform assisted antibodies that are selected by us for inclusion into a partnered antibody program, a worldwide, assignable license to make, have made, use, offer for sale, sell, import, develop, manufacture, and commercialize products comprising partnered antibody programs selected from Alloy antibodies and platform assisted antibodies in any field of use. The license agreement was amended in October 2022. In addition to annual license fees, we are obligated to pay development and commercial milestone payments up to $12.8 million for the first selected antibody and up to $18.1 million for the second selected antibody.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September 2022, Former Dianthus entered into a commercial platform license agreement and services agreement with Crystal Bioscience, Inc. (“Crystal”), and OmniAb, Inc. (“OmniAb”) for (i) a worldwide, non-exclusive, non-sublicensable license under the Crystal technology to use chicken animals for generation of OmniAb Antibodies for research purposes and (ii) a worldwide, non-exclusive license under the OmniAb technology to use rodent animals for generation of OmniAb Antibodies for research purposes. In addition to annual license fees, we are obligated to pay development milestones payments up to $12.2 million and to pay royalties in the low to mid-single digits.</w:t>
      </w:r>
    </w:p>
    <w:p>
      <w:pPr>
        <w:spacing w:after="0" w:line="18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July 2020, Former Dianthus entered into a collaborative research agreement with IONTAS Limited (“IONTAS”) to perform certain milestone-based research and development activities under our first development program. The agreement was amended in January 2023 to extend services to additional development programs. We are obligated to pay development and commercial milestone payments up to £5.4 million (approximately $6.8 million) with the first development program and up to £2.5 million (approximately $3.1 million) with the second development program.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the financial statements and related disclosures requires management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estimates and assumptions on a periodic basis. Our actual results may differ materially from these estimates.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the audited financial statements for the years ended December 31, 2022 and 2021 included elsewhere in this prospectus, we believe that the following accounting policies are critical to understanding our historical and future performance, as the policies relate to the more significant areas involving management’s judgments and estimates used in the preparation of our financial statements.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82"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recorded as an expense, as incurred. Research and development expenses consists of (i) costs to engage contractors who specialize in our development activities; (ii) external research and development costs incurred under arrangements with third parties, such as CROs and consultants; and (iii) costs associated with preclinical and clinical activities and regulatory operations.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enter consulting, research, and other agreements with commercial firms, researchers, and others for the provision of goods and services. Under such agreements, we may pay for services on a monthly, quarterly, project or other basis. Such arrangements are generally cancelable upon reasonable notice and payment of costs incurred. Costs are considered incurred based on an evaluation of the progress to completion of specific tasks under each contract using information and data provided to us by our service providers or our estimate of the level of service that has been performed at each reporting date, whereas payments are dictated by the terms of each agreement. As such, depending on the timing of payment relative to the receipt of goods or services, we may record either prepaid expenses or accrued services. These costs consist of direct and indirect costs associated with specific projects, as well as fees paid to various entities that perform certain research on our behalf.</w:t>
      </w:r>
    </w:p>
    <w:p>
      <w:pPr>
        <w:spacing w:after="0" w:line="18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to us at that time. There may also be instances in which payments made to our vendors will exceed the level of services provided and result in a prepayment of the expense. In accruing expenses,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account for stock-based compensation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ASC 718 requires all stock-based payments, including grants of stock options and restricted stock, to be recognized in the statements of operations and comprehensive loss based on their fair values. All of our stock option awards are subject only to service-based vesting conditions. We estimate the fair value of our stock-based awards using the Black-Scholes option pricing model, which requires the input of assumptions, including (a) the fair value of the common stock, (b) the expected stock price volatility, (c) the calculation of expected term of the award, (d) the risk-free interest rate and (e) expected dividends. We estimate the fair value of the restricted stock awards using the fair value of our Common Stock. Forfeitures are recognized as they are incurred.</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Prior to the Merger, management utilized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 to estimate the fair value of Former Dianthus’ common stock. Each valuation methodology included estimates and assumptions that required our judgment. These estimates and assumptions included objective and subjective factors, including external market conditions, the prices at which Former Dianthus sold shares of convertible preferred stock, the superior rights and preferences of the convertible preferred stock senior to Former Dianthus’ common stock at the time, and a probability analysis of various liquidity events, such as a public offering or sale of Former Dianthus, under differing scenarios. Changes to the key assumptions used in the valuations could have resulted in materially different fair values of Former Dianthus’ common stock at each valuation date. Following the Merger, the fair value of our Common Stock is based on the closing stock price on the date of grant as reported on the Nasdaq Capital Market.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Due to a lack of company-specific historical and implied volatility data, we base our estimate of expected volatility on the historical volatility of a representative group of companies with similar characteristics to us, including stage of product development and life science industry focus. We believe the group selected has sufficiently similar economic and industry characteristics and includes companies that are most representative of our business.</w:t>
      </w:r>
    </w:p>
    <w:p>
      <w:pPr>
        <w:spacing w:after="0" w:line="156"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use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The risk-free interest rate is based on observed interest rates appropriate for the term of the awards. The dividend yield assumption is based on history and expectation of paying no dividends.</w:t>
      </w:r>
    </w:p>
    <w:p>
      <w:pPr>
        <w:spacing w:after="0" w:line="17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stock-based awards is calculated on a straight-line basis by recognizing the grant date fair value, over the associated service period of the award, which is generally the vesting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Recognition—Zenas Agreements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analyze the Zenas Agreements pursuant to ASC 606. This assessment is performed throughout the life of the arrangement based on changes in the responsibilities of all parties in the arrangement.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 part of the accounting for contracts with customers, management develops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and forecasted revenues.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evaluate the performance obligations promised in the contract that are based on goods and services that will be transferred to the customer and determined whether those obligations are both (i) capable of being distinct and (ii) distinct in the context of the contract. Goods or services that meet these criteria are considered distinct performance obligations. 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transaction price and the likelihood that the transaction price will be received. We utilize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the estimated measure of progress are accounted for prospectively as a change in accounting estimate.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Because the Zenas Agreements were negotiated with a single commercial objective, they are treated as a combined contract for accounting purposes. We assessed the Zenas Agreements in accordance with ASC 606 and concluded that it represents a contract with a customer and is within the scope of ASC 606. We determined that there is one combined performance obligation that consists of the license and data transfer, the research and development services, and the participation in the joint steering committee. We determined that Zenas BioPharma’s right to exercise an option with respect to a second antibody sequence does not represent a material right.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determined that the combined performance obligation is satisfied over time; therefore, we will recognize the transaction price from the license agreement over our estimated period to complete our activities. We concluded that we would utilize a cost-based input method to measure our progress toward completion of our performance obligation and to calculate the corresponding amount of revenue to recognize each period. We believe this is the best measure of progress because other measures do not reflect how we transfer our performance obligation to Zenas Biopharma. In applying the cost-based input method of revenue recognition, we use actual costs incurred relative to budgeted costs expected to be incurred for the combined performance obligation. These costs consist primarily of third-party contract costs. Revenue will be recognized based on the level of costs incurred relative to the total budgeted costs for the performance obligations. A cost-based input method of revenue recognition requires us to make estimates of costs to complete our performance obligation. In making such estimates, judgment is required to evaluate assumptions related to cost estimates. We will re-evaluate the estimate of expected costs to satisfy the performance obligation each reporting period and will make adjustments for any significant changes.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Upfront payments and fees are recorded as deferred revenue upon receipt or when due and may require deferral of revenue recognition to a future 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Dismissal of Independent Registered Public Accounting Firm</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KPMG LLP (“KPMG”) served as the independent registered public accounting firm of the Company prior to the completion of the Merger. On September 11, 2023, following the completion of the Merger, KPMG was dismissed as the independent registered public accounting firm of the Company. The decision to dismiss KPMG was approved by the Audit Committee of the Board of Directors.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reports of KPMG on the consolidated financial statements of the Company for the fiscal years ended December 31, 2022 and 2021 did not contain an adverse opinion or disclaimer of opinion and were not qualified or modified as to uncertainty, audit scope or accounting principles.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Company’s two most recent fiscal years and the subsequent period from January 1, 2023 to September 11, 2023, there were (i) no disagreements (as defined in Item 304(a)(1)(iv) of Regulation S-K and the related instructions thereto) with KPMG on any matter of accounting principles or practices, financial statement disclosure, or auditing scope or procedure, which disagreement, if not resolved to the satisfaction of KPMG, would have caused it to make reference to the subject matter of the disagreement in connection with its report and (ii) no reportable events (as described in Item 304(a)(1)(v) of Regulation S-K).</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provided KPMG with a copy of the disclosures made in this section and requested KPMG to furnish the Company with a letter addressed to the SEC stating whether it agrees with the statements made by the Company and, if not, stating the respects in which it does not agree. A copy of KPMG’s letter to the SEC dated September 12, 2023 regarding these statements was filed as Exhibit 16.1 to the Company’s Current Report on Form 8-K filed on September 12,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Independent Registered Public Accounting Firm</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Deloitte &amp; Touche LLP (“Deloitte”) served as the independent registered public accounting firm of OpCo prior to the completion of the Merger. On September 11, 2023, following the completion of the Merger, the Audit Committee approved the appointment of Deloitte as the independent registered public accounting firm of the Company. The Company’s engagement of Deloitte was subject to completion of Deloitte’s standard client acceptance procedures and execution of an engagement letter, which was fully executed by the Company on October 19, 2023.</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October 19, 2023, neither the Company, nor anyone on its behalf, consulted Deloitte regarding (i) the application of accounting principles to a specified transaction, either completed or proposed, or the type of audit opinion that might be rendered on the Company’s consolidated financial statements, and no written report or oral advice was provided to the Company by Deloitte that Deloitte concluded was an important factor considered by the Company in reaching a decision as to any accounting, auditing or financial reporting issue or (ii) any matter that was the subject of a “disagreement” (as that term is defined in Item 304(a)(1)(iv) of Regulation S-K and the related instructions) or a “reportable event” (as that term is defined in Item 304(a)(1)(v) of Regulation S-K).</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(the “Exchange Act”), and in Item 10(f)(1) of Regulation S-K, and are not required to provide the information under this item.</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82"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Terms included below that are not defined herein shall have the meanings ascribed to them in Dianthus’ definitive proxy statement/prospectus filed with the SEC on August 1, 2023.</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complement therapeutics for patients living with severe autoimmune and inflammatory diseases. We believe our lead novel and proprietary monoclonal antibody product candidate, DNTH103, has the potential to address a broad array of complement-dependent diseases as currently available therapies or those in development leave room for improvements in efficacy, safety, and/or dosing convenience. We have purposefully engineered DNTH103 to selectively bind to only the active form of the C1s complement protein and to exhibit improved potency and an extended half-life. By selectively targeting only the active form of C1s, which drives disease pathology and constitutes only a small fraction of the total protein present in circulation, we aim to reduce the amount of drug required for a therapeutic effect. We intend to deliver our product candidates through a lower dose, less frequent, self-administered, convenient subcutaneous injection suitable for a pre-filled pen.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Pipeline-in-a-Product Potential for DNTH103, a Next-Generation Complement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628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8604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We hold world-wide rights excluding rights to Greater China, which are outlicensed to Zenas BioPharma.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DNTH103</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most advanced product candidate, DNTH103, is a clinical-stage, highly potent, highly selective and fully human monoclonal immunoglobulin G4 (“IgG4”) with picomolar binding affinity that is designed to selectively bind only to the active form of the C1s complement protein. The active form of C1s is generated during complement activation by cleavage of the inactive proC1s (as defined below). As a validated complement target in the autoimmune and inflammatory field, C1s inhibition prevents further progression of the classical pathway cascade. DNTH103 is engineered with YTE half-life extension technology, a specific three amino acid change in the Fc domain, and has a pharmacokinetic (“PK”) profile designed to support less frequent, lower dose, self-administration as a convenient S.C. injection. Data reported in August of 2023 from DNTH103’s ongoing Phase 1 clinical trial in 52 healthy volunteers across seven dose cohorts validates the extended half-life and potent classical pathway inhibition and supports a potentially differentiated safety profile of DNTH103. The top-line data confirmed its approximately 60-day half-life and highly potent classical pathway inhibition with every two weeks (“Q2W”) S.C. dosing of 300mg/2mL surpassing the calculated IC90 of 83ug/mL, establishing DNTH103’s best-in-class potential to be the first self-administered subcutaneous injection dosed as infrequently as Q2W to treat a range of autoimmune disorders. Based on the clinical data available to date, DNTH103 was generally well tolerated with no serious adverse events (“SAEs”) or complement-related infections. DNTH103 is designed to selectively target the active form of C1s, inhibiting only the classical pathway, while leaving the lectin and alternative pathways intact. As a result, DNTH103 may have a reduced risk of infections from encapsulated bacteria when compared to C5 terminal inhibitors, thus potentially avoiding an FDA Boxed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Warning and associated Risk Evaluation and Mitigation Strategy (“REMS”). We believe that DNTH103 has the potential to yield therapeutic benefit in multiple autoimmune and inflammatory disease indications where inappropriate activation of the classical pathway cascade drives or exacerbates the disease pathology by inhibiting the ability of activated C1s to effect downstream complement activity, ameliorating complement mediated cell death and disruption of normal cellular function.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DNTH103 was designed to achieve the following target product profile across multiple indications:</w:t>
      </w:r>
    </w:p>
    <w:p>
      <w:pPr>
        <w:spacing w:after="0" w:line="129" w:lineRule="exact"/>
        <w:rPr>
          <w:sz w:val="20"/>
          <w:szCs w:val="20"/>
          <w:color w:val="auto"/>
        </w:rPr>
      </w:pPr>
    </w:p>
    <w:p>
      <w:pPr>
        <w:ind w:left="1080" w:right="240" w:hanging="424"/>
        <w:spacing w:after="0" w:line="28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 dose for convenient S.C. self-administration</w:t>
      </w:r>
      <w:r>
        <w:rPr>
          <w:rFonts w:ascii="Times New Roman" w:cs="Times New Roman" w:eastAsia="Times New Roman" w:hAnsi="Times New Roman"/>
          <w:sz w:val="18"/>
          <w:szCs w:val="18"/>
          <w:color w:val="auto"/>
        </w:rPr>
        <w:t>: Reduce the amount of drug required for a therapeutic effect by selectively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the active form of C1s and deliver 300mg in a single 2mL S.C. injection suitable for a pre-filled pen;</w:t>
      </w:r>
    </w:p>
    <w:p>
      <w:pPr>
        <w:spacing w:after="0" w:line="63"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Less frequent administration</w:t>
      </w:r>
      <w:r>
        <w:rPr>
          <w:rFonts w:ascii="Times New Roman" w:cs="Times New Roman" w:eastAsia="Times New Roman" w:hAnsi="Times New Roman"/>
          <w:sz w:val="18"/>
          <w:szCs w:val="18"/>
          <w:color w:val="auto"/>
        </w:rPr>
        <w:t>: Lower the frequency of administration by incorporating the YTE half-life extension technology and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DNTH103 through a single S.C. injection Q2W; and</w:t>
      </w:r>
    </w:p>
    <w:p>
      <w:pPr>
        <w:spacing w:after="0" w:line="63"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 risk of infection from encapsulated bacteria</w:t>
      </w:r>
      <w:r>
        <w:rPr>
          <w:rFonts w:ascii="Times New Roman" w:cs="Times New Roman" w:eastAsia="Times New Roman" w:hAnsi="Times New Roman"/>
          <w:sz w:val="18"/>
          <w:szCs w:val="18"/>
          <w:color w:val="auto"/>
        </w:rPr>
        <w:t>: By inhibiting only the classical pathway and leaving the lectin and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pathways intact, provide a therapeutic option with a superior safety profile as compared to terminal pathway inhibitors approved or in development for conditions such as generalized Myasthenia Gravis (“gMG”) and reduce the potential for a serious bacterial infection and an FDA Boxed Warning and associated REMS program.</w:t>
      </w:r>
    </w:p>
    <w:p>
      <w:pPr>
        <w:spacing w:after="0" w:line="18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DNTH103 is currently being evaluated in a first-in-human Phase 1 single and multiple ascending dose (“MAD”) clinical trial in New Zealand to explore the safety, tolerability, PK, and pharmacodynamics (“PD”) of DNTH103 in healthy volunteers. DNTH103 has completed the dose cohorts that are required to progress into Phase 2 clinical trials, pending regulatory authorizations. In August of 2023, we reported data from 52 healthy volunteers that have been dosed across seven cohorts, including five single ascending dose (“SAD”) cohorts: 1mg/kg intravenous (“I.V.”), 10mg/kg I.V., 30mg/kg I.V., 300mg S.C. and 600mg S.C.; and two MAD cohorts: 300mg S.C. and 600mg. S.C. Based on the clinical data available to date, DNTH103 has been generally well-tolerated, demonstrating favorable PK and PD data, supporting its target product profile. Based on data from the 52 healthy volunteers, DNTH103 has a half-life of approximately 60 days. With these data, we conducted a PK simulation (as shown below) that demonstrates the steady state serum concentration of DNTH103, when dosed 300mg S.C. Q2W following an initial I.V. loading dose, exceeds the serum concentration required to surpass 90% classical pathway inhibition in a hemolytic assay (“IC90”) estimated to be 83ug/mL. We believe, based on published scientific literature related to other complement therapies, that the IC90 will be sufficient to achieve clinical activity in patients with gMG.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151765</wp:posOffset>
            </wp:positionV>
            <wp:extent cx="3857625" cy="2494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576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DNTH103 was also studied in a validated functional in vitro experiment simulating the neuromuscular junction in patients with acetylcholine receptor (“AChR”) antibody positive MG with the objective of evaluating the impact of DNTH103 on muscle fatigue, a composite measure of neurotransmission and muscle contraction. In AChR antibody positive MG, IgG1 or IgG3 autoantibodies to the acetylcholine receptor induce local classical pathway activation and membrane attack complex (“MAC”) formation, resulting in neuromuscular junction damage and subsequent disruption of neurotransmission and muscle contraction. Similar functional in vitro studies from Hesperos, Inc., have been published in peer-reviewed journals and used to support IND submissions for other neuromuscular conditions such as multifocal motor neuropathy (“MMN”), and chronic inflammatory demyelinating polyneuropathy (“CIDP”).</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this experiment, the nerve cells are continuously stimulated for two minutes and measurements of the muscle contractions are collected. The impact of the addition of serum from three different AChR antibody positive MG patients to the simulated neuromuscular junction was then assessed, causing muscle contraction to become weaker and fatigue due to neurotransmission impairment. The percent change in muscle fatigue index to baseline was then examined following the introduction of 1.0 µM of a tested recombinantly-generated form (in-vitro synthesized molecules whose molecular structure is predicted to be identical based on amino acid sequences from patent filings) of ravulizumab, and two concentrations of DNTH103, 1.0 µM and 0.1 µM. The results demonstrate that ravulizumab reduced muscle fatigue in AChR antibody positive MG patient samples, as expected. DNTH103 also reduced muscle fatigue in AChR antibody positive MG patient samples, indicating an improvement in neurotransmission and muscle contraction. The results provide further scientific rationale for DNTH103 in gMG.</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intend to submit an IND in the United States in the fourth quarter of 2023 and, subsequently, a Clinical Trial Application (“CTA”) in the European Union to support the initiation of a global Phase 2 clinical trial in gMG in the first quarter of 2024.</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MG is a rare, chronic autoimmune disorder characterized by muscle weakness due to complement-mediated damage to the muscle endplate. MG affects the voluntary muscles of the body, especially those that control the eyes, mouth, throat, limbs and in severe cases, muscles which support breathing. Clinically, MG can be classified as either ocular or generalized. In ocular MG, impairment is limited to the eye muscles, with symptoms such as diplopia (double vision) and ptosis (drooping of the upper eyelid). Approximately 80% of ocular MG cases progress to gMG. Patients with gMG may experience impaired vision, speech, and mobility; shortness of breath; difficulty swallowing and eating; and fatigue, all of which can have a profound negative effect on activities of daily life. gMG can result in a myasthenia crisis, a life-threatening condition, with very high fatality rates if left untreated. gMG crisis causes severe weakness of the diaphragm and chest muscles that support breathing, resulting in respiratory paralysis and requiring admission to the intensive care unit and the need for ventilatory support.</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MG has an estimated prevalence of approximately 70,000 individuals in the United States. However, given this disease is often underdiagnosed, estimated diagnosed prevalence of MG in the United States has been reported to be as high as approximately 90,000 individuals. The disease affects both men and women, but often presents earlier in women. Approximately 85% of MG patients demonstrate elevated serum levels of AChR antibodies, which disrupt signal transmission at the neuromuscular junction.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gMG becomes more severe in patients, the treatment burden meaningfully increases due to the need for higher dose or more frequent intravenous infusions. In addition, approved C5 complement inhibitor therapies which have demonstrated efficacy in AChR positive gMG patients, have an FDA Boxed Warning and an associated REMS due to the risk of serious meningococcal infections. Moreover, up to approximately 80% of patients fail to achieve complete stable remission on existing therapies.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believe DNTH103 has the potential to meaningfully transform the standard of care in gMG as a potent, lower dose, lower frequency, self-administered S.C. injection that may not have an FDA Boxed Warning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REMS. As a more patient-friendly, predictable, convenient and a less burdensome biologic, DNTH103 has the potential to become a first-line biologic treatment option. Thus, DNTH103 could compete for early treatment of AChR positive gMG patients versus intravenous immune globulin (“IVIG”), terminal complement inhibitors and neonatal fragment crystallizable receptor (“FcRn”) inhibitors, as well as for use in patients that do not adequately respond to other biologics such as IVIG or FcRn inhibitors.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plan to progress DNTH103 into Phase 2 clinical trials in additional diseases in which the classical pathway plays a significant role in the disease pathology, such as MMN and CIDP. MMN is a pure motor neuropathy associated with asymmetric deficits with predilection for upper limb involvement and has an estimated U.S. prevalence of up to approximately 10,000 individuals. MMN is progressive and causes substantial disability and loss of function, due to involvement of upper limbs. CIDP is an autoimmune and inflammatory disorder affecting the myelin that insulates and protects peripheral nerves and has an estimated U.S. prevalence of approximately 15,000 individuals. There are currently no FDA-approved complement or FcRn inhibitors in either condition and significant unmet needs remain for more effective, safe, and/or convenient therapeutics. We plan to start Phase 2 trials in these additional indications in 2024, subject to IND clearances or other regulatory authorizations. We continue to evaluate other indications where the classical pathway plays a significant role in the disease pathology and DNTH103 could address unmet medical needs.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Discovery Programs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a dedicated team of scientists with extensive complement and antibody experience focused on expanding our pipeline of next-generation complement therapeutics targeting the active form of complement proteins. We expect our ongoing discovery efforts to nominate a new development candidate for an additional complement target in the second half of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OpCo was founded in 2019 by a group of leading entrepreneurial scientists and investors with extensive monoclonal antibody experience. Its scientific founders’ discoveries have also led to the creation of other successful biotechnology companies, including Apogee Therapeutics, Inc., Astria Therapeutics, Inc., Cogent Biosciences, Inc., Spyre Therapeutics, Inc., and Viridian Therapeutics, Inc. We are led by a strong management team and scientists with diverse backgrounds and significant experience in developing novel treatments for patients at biopharmaceutical companies such as Alexion Pharmaceuticals, Inc., Aspreva Pharmaceuticals Corp., Aurinia Pharmaceuticals Inc., Ra Pharmaceuticals, Inc., and UCB S.A. Together, our team has a proven track record in the discovery, development and commercialization of numerous approved complement and autoimmune and inflammatory therapeutics.</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and prior to the completion of the Merger, OpCo had raised approximately $121 million of capital from premier life science investors, including 5AM Ventures, Avidity Partners, Fairmount Funds Management LLC (“Fairmount”), Fidelity Management &amp; Research Company, Tellus BioVentures, LLC (“Tellus BioVentures”) and Venrock Healthcare Capital Partners.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September 11, 2023, in connection with the completion of the Merger, OpCo completed a $72 million private investment in its common stock and pre-funded warrants from a syndicate of healthcare investors led by Fidelity Management &amp; Research Company, Catalio Capital Management, 5AM Ventures, Avidity Partners, Wedbush Healthcare Partners and founding investors Fairmount, Tellus BioVentures and Venrock Healthcare Capital Partners.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goal is to continue to develop next-generation complement therapeutics for the treatment of severe autoimmune and inflammatory diseases by harnessing the power of selectivity. The key components of our strategy are as follows:</w:t>
      </w:r>
    </w:p>
    <w:p>
      <w:pPr>
        <w:spacing w:after="0" w:line="63" w:lineRule="exact"/>
        <w:rPr>
          <w:sz w:val="20"/>
          <w:szCs w:val="20"/>
          <w:color w:val="auto"/>
        </w:rPr>
      </w:pPr>
    </w:p>
    <w:p>
      <w:pPr>
        <w:ind w:left="1080" w:right="60" w:hanging="424"/>
        <w:spacing w:after="0" w:line="254"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advance DNTH103 into a global Phase 2 clinical trial in gMG. </w:t>
      </w:r>
      <w:r>
        <w:rPr>
          <w:rFonts w:ascii="Times New Roman" w:cs="Times New Roman" w:eastAsia="Times New Roman" w:hAnsi="Times New Roman"/>
          <w:sz w:val="18"/>
          <w:szCs w:val="18"/>
          <w:color w:val="auto"/>
        </w:rPr>
        <w:t>DNTH103 has completed the Phase 1 healthy volunteer dose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cohorts that are required to progress into Phase 2 clinical trials, pending regulatory approvals. We intend to submit an IND in the U.S. in the fourth quarter of 2023 and, subsequently, a CTA filing in the EU to support a global Phase 2 clinical trial in gMG. Data from DNTH103’s ongoing Phase 1 clinical trial in 52 healthy volunteers across seven dose cohorts supports potent inhibition of the classical pathway with 300mg/2mL S.C. dosing Q2W. Based on the clinical data available to date, DNTH103 has been generally well-tolerated, with no SAEs or complement-related infections. Additionally, data from the MG in vitro proof-of-concept experiment that demonstrated DNTH103 also reduced muscle fatigue in AChR antibody positive MG patient sera, indicating an improvement in neurotransmission and muscle contraction, provide further scientific rationale for DNTH103 in gMG. We aim to generate additional data through planned clinical trials that DNTH103 has a favorable safety profile and is a potent, next-generation monoclonal antibody that can support self-administration as a convenient, lower volume, less frequent S.C. injection in a pre-filled pen, with the potential to be highly differentiated versus current treatment options.</w:t>
      </w:r>
    </w:p>
    <w:p>
      <w:pPr>
        <w:spacing w:after="0" w:line="87"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DNTH103 in a broad range of diseases where the classical pathway plays a significant role in the disease pathology, starting with MMN and CIDP. </w:t>
      </w:r>
      <w:r>
        <w:rPr>
          <w:rFonts w:ascii="Times New Roman" w:cs="Times New Roman" w:eastAsia="Times New Roman" w:hAnsi="Times New Roman"/>
          <w:sz w:val="18"/>
          <w:szCs w:val="18"/>
          <w:color w:val="auto"/>
        </w:rPr>
        <w:t>The classical pathway is activated through interaction of the C1 complex with antibody-antigen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complexes. We believe that therapies specifically targeting the classical pathway and C1s, such as DNTH103, would be well-suited for the potential treatment of autoimmune or inflammatory diseases where autoantibodies are implicated and there is evidence of complement-mediated damage. Beyond gMG, we are evaluating diseases in which the classical pathway plays a significant role in the disease pathology, such as MMN and CIDP. We expect to progress DNTH103 into Phase 2 clinical trials in these additional indications in 2024, starting with MMN in the first half of 2024 and CIDP in the second half of 2024, subject to IND clearances or other regulatory authorizations.</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additional next-generation product candidates designed to have distinct advantages over other complement therapies.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focused on developing next-generation therapeutics targeting the active form of complement proteins with strong biological rationale for the treatment of autoimmune and inflammatory diseases. We have a dedicated team of scientists with extensive complement and antibody experience working to expand our pipeline of investigational complement therapeutic candidates to develop and deliver novel and highly differentiated therapies for underserved patients. We expect to nominate a new development candidate for an additional complement target in the second half of 2024.</w:t>
      </w:r>
    </w:p>
    <w:p>
      <w:pPr>
        <w:spacing w:after="0" w:line="87" w:lineRule="exact"/>
        <w:rPr>
          <w:rFonts w:ascii="Times New Roman" w:cs="Times New Roman" w:eastAsia="Times New Roman" w:hAnsi="Times New Roman"/>
          <w:sz w:val="18"/>
          <w:szCs w:val="18"/>
          <w:color w:val="auto"/>
        </w:rPr>
      </w:pPr>
    </w:p>
    <w:p>
      <w:pPr>
        <w:ind w:left="1080" w:right="220" w:hanging="424"/>
        <w:spacing w:after="0" w:line="25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Collaborate strategically to maximize the value of our product candidates. </w:t>
      </w:r>
      <w:r>
        <w:rPr>
          <w:rFonts w:ascii="Times New Roman" w:cs="Times New Roman" w:eastAsia="Times New Roman" w:hAnsi="Times New Roman"/>
          <w:sz w:val="18"/>
          <w:szCs w:val="18"/>
          <w:color w:val="auto"/>
        </w:rPr>
        <w:t>In June 2022, we licensed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rights to Zenas BioPharma for DNTH103 in greater China. Aside from greater China, we currently hold worldwide development and commercialization rights, including through exclusive licenses, to all of our product candidates. We intend to pursue independent development and commercialization in select indications and markets where we can maximize shareholder value with a focused commercial organization. We may opportunistically explore licensing agreements, collaborations or partnerships to enhance our development efforts, develop our product candidates in larger market indications or commercialize our products where we could create more value for patients and shareholders by utilizing the resources of larger or better positioned biopharmaceutical companies.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the Complement System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Complement System—Three Main Pathways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complement system plays a critical role in maintaining an active innate immune system, including as the first line of defense against microbial pathogens, elimination of apoptotic cells and tissue debris, and modulation of the adaptive B and T cell response. However, uncontrolled complement activation can also be a key contributor to the pathophysiology of numerous inflammatory and autoimmune conditions.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complement system includes more than 30 component proteins, regulators, and receptors. The figure below illustrates the three complement activation pathways, each of which has a unique trigger for initiating a cascade of events:</w:t>
      </w:r>
    </w:p>
    <w:p>
      <w:pPr>
        <w:spacing w:after="0" w:line="6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Classical Pathway</w:t>
      </w:r>
      <w:r>
        <w:rPr>
          <w:rFonts w:ascii="Times New Roman" w:cs="Times New Roman" w:eastAsia="Times New Roman" w:hAnsi="Times New Roman"/>
          <w:sz w:val="18"/>
          <w:szCs w:val="18"/>
          <w:color w:val="auto"/>
        </w:rPr>
        <w:t>: Activated primarily by immune complexes.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Lectin Pathway</w:t>
      </w:r>
      <w:r>
        <w:rPr>
          <w:rFonts w:ascii="Times New Roman" w:cs="Times New Roman" w:eastAsia="Times New Roman" w:hAnsi="Times New Roman"/>
          <w:sz w:val="18"/>
          <w:szCs w:val="18"/>
          <w:color w:val="auto"/>
        </w:rPr>
        <w:t>: Activated by mannose binding lectin interaction with sugars on the surface of pathogens or injured cells.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 Pathway</w:t>
      </w:r>
      <w:r>
        <w:rPr>
          <w:rFonts w:ascii="Times New Roman" w:cs="Times New Roman" w:eastAsia="Times New Roman" w:hAnsi="Times New Roman"/>
          <w:sz w:val="18"/>
          <w:szCs w:val="18"/>
          <w:color w:val="auto"/>
        </w:rPr>
        <w:t>: Automatically activated in a conformational, non-enzymatic process that leads to amplification of the classical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lectin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130175</wp:posOffset>
            </wp:positionV>
            <wp:extent cx="5186045" cy="1731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604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Regardless of the activation event, all complement pathways converge at common pathway components, known as C3 and C5. When the C3 and C5 proteins are activated, they enable three principal immune responses: inflammation, opsonization and formation of the MAC, a pore forming structure that leads to the lysis of targeted cells. In a normal immune response, C3b fragments act to mark pathogens for removal from tissues or the bloodstream by phagocytes in a process known as opsonization. C3a or C5a cleaved fragments cause inflammation in the surrounding tissues, attracting phagocytes to ingest opsonized pathogens. Downstream, C5b fragments initiate the formation of the MAC on pathogens, causing cell death and elimination. However, under conditions of excessive or uncontrolled activation, the complement system is believed to play a key role in the incidence and progression of several autoimmune and inflammatory diseases. Under these conditions, healthy cells may become part of a trigger for complement activation and/or become opsonized and destroyed.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Classical Pathway and the Role of C1s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classical pathway of the complement system bridges innate and adaptive immunity. Classical pathway activation is initiated by the C1 complex. The C1 complex consists of a binding protein, C1q, and two inactive proenzymes, C1r (“proC1r”) and C1s (“proC1s”). Initiation of the classical pathway cascade occurs when C1q binds to the Fc portion of immunoglobulin G (“IgG”) or immunoglobulin M (“IgM”), as part of an immune complex as depicted in the image below. During an immune response, C1q binding to IgM or IgG antibodies that coat the surface of a cell triggers the autoactivation of proC1r, which in turn cleaves proC1s to generate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482"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active form of C1s. In its active form, C1s is responsible for cleaving and activating C4 and C2, which leads to the downstream cascade that culminates in the terminal pathway and MAC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131445</wp:posOffset>
            </wp:positionV>
            <wp:extent cx="2245995" cy="1560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4599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C1s is unique to the classical pathway and thus provides a therapeutic opportunity to selectively target antibody-driven autoimmune and inflammatory disorders mediated by the classical pathway while leaving the lectin and alternative pathways intact. This may result in distinct safety advantages over current FDA-approved downstream complement inhibitors, such as those approved for the treatment of gMG, which inhibit MAC formation from all three complement pathways and currently have an FDA Boxed Warning for serious meningococcal infections and an associated REMS program.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First Product Candidate, DNTH103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DNTH103 is a highly selective and potent fully human monoclonal IgG4 antibody that is designed to bind selectively to the active form of C1s and inhibits further progression of the classical pathway cascade. DNTH103 is designed to support less frequent, lower volume, self-administration as a convenient S.C. injection. Based on preclinical and available clinical data to date, Dianthus believes DNTH103 has the following potential advantages:</w:t>
      </w:r>
    </w:p>
    <w:p>
      <w:pPr>
        <w:spacing w:after="0" w:line="59" w:lineRule="exact"/>
        <w:rPr>
          <w:sz w:val="20"/>
          <w:szCs w:val="20"/>
          <w:color w:val="auto"/>
        </w:rPr>
      </w:pPr>
    </w:p>
    <w:p>
      <w:pPr>
        <w:ind w:left="1080" w:right="20" w:hanging="424"/>
        <w:spacing w:after="0" w:line="253"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selectivity and potency with picomolar binding affinity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DNTH103 is a potent and selective antibody designed to bind with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affinity to the active form of C1s. In preclinical studies, DNTH103 has been observed to have a greater than 10,000-fold binding affinity versus proC1s and inhibits further progression of the classical pathway cascade. By targeting active C1s, the much less abundant form found in peripheral blood at approximately 39-fold less active C1s than proC1s on a molar basis, we may be able to lower the effective dose required to treat a range of autoimmune and inflammatory diseases. A currently approved therapy binds to both the inactive (or proC1s) and active forms of C1s, thus requiring relatively high doses to be delivered for therapeutic effect due to target mediated drug disposition. We evaluated the potency of DNTH103 in vitro in a direct lysis assay using human red blood cells (“RBCs”) which was compared to recombinantly-generated forms (in-vitro synthesized molecules whose molecular structure is predicted to be identical based on amino acid sequences from patent filings) of marketed antibody therapeutics, sutimlimab and ravulizumab. These latter antibodies target C1s (both proC1s and active C1s) and C5, respectively. In one representative experiment, the IC50, a widely used and informative measure of the amount of antibody required to inhibit 50% of baseline classical pathway activity, for DNTH103 was 5.8nM compared to 29.5nM for sutimlimab and 28.4nM for ravulizumab. While it is possible that findings in clinical trials will differ and the recombinantly-generated comparators may have subtle differences to the marketed products, this experiment demonstrates that a significantly lower dose of DNTH103 is required to achieve IC50 compared to sutimlimab and ravulizumab.</w:t>
      </w:r>
    </w:p>
    <w:p>
      <w:pPr>
        <w:spacing w:after="0" w:line="90"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Extended half-life. </w:t>
      </w:r>
      <w:r>
        <w:rPr>
          <w:rFonts w:ascii="Times New Roman" w:cs="Times New Roman" w:eastAsia="Times New Roman" w:hAnsi="Times New Roman"/>
          <w:sz w:val="18"/>
          <w:szCs w:val="18"/>
          <w:color w:val="auto"/>
        </w:rPr>
        <w:t>We engineered the Fc portion of DNTH103 to include YTE half-life extension technology to increase availability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DNTH103 in circulation thereby enabling extended complement</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40"/>
          </w:cols>
          <w:pgMar w:left="320" w:top="482"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inhibition, which may enable patients to dose less frequently. In our preclinical studies, serum levels from non-human primates (“NHPs”) indicated an elimination half-life of up to 21.7 days following I.V. and S.C. administration of DNTH103 and was comparable between both routes of administration. According to published scientific literature, we anticipated a significantly longer half-life in humans based on published PK findings from Phase 1 trials of other monoclonal antibodies that utilized YTE half-life extension technologies, such as MEDI-524-YTE (motavizumab-YTE) and STAR-0215. Based on data from the Phase 1 clinical trial, DNTH103 has a half-life of approximately 60 days.</w:t>
      </w:r>
    </w:p>
    <w:p>
      <w:pPr>
        <w:spacing w:after="0" w:line="89" w:lineRule="exact"/>
        <w:rPr>
          <w:sz w:val="20"/>
          <w:szCs w:val="20"/>
          <w:color w:val="auto"/>
        </w:rPr>
      </w:pPr>
    </w:p>
    <w:p>
      <w:pPr>
        <w:ind w:left="1080" w:right="20" w:hanging="424"/>
        <w:spacing w:after="0" w:line="23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Lower risk of infection. </w:t>
      </w:r>
      <w:r>
        <w:rPr>
          <w:rFonts w:ascii="Times New Roman" w:cs="Times New Roman" w:eastAsia="Times New Roman" w:hAnsi="Times New Roman"/>
          <w:sz w:val="18"/>
          <w:szCs w:val="18"/>
          <w:color w:val="auto"/>
        </w:rPr>
        <w:t>Currently approved complement therapies for gMG (the C5 inhibitors) inhibit the terminal portion of all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 pathways and have FDA Boxed Warnings for serious meningococcal infections and REMS. Through inhibition of active C1s, DNTH103 is designed to selectively target the classical pathway while leaving the lectin and alternative pathways intact with the aim of reducing the risk of infection from encapsulated bacteria. Notably, ENJAYMO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C1s classical pathway inhibitor, received FDA approval in 2022 for the treatment of hemolysis in adults with CAD without an FDA Boxed Warning or REMS. We believe that the FDA’s approval of a C1s classical pathway inhibitor therapy with no FDA Boxed Warning or REMS evidences the potential for DNTH103 to achieve the target product profile of no FDA Boxed Warning or REMS.</w:t>
      </w:r>
    </w:p>
    <w:p>
      <w:pPr>
        <w:spacing w:after="0" w:line="105" w:lineRule="exact"/>
        <w:rPr>
          <w:rFonts w:ascii="Times New Roman" w:cs="Times New Roman" w:eastAsia="Times New Roman" w:hAnsi="Times New Roman"/>
          <w:sz w:val="18"/>
          <w:szCs w:val="18"/>
          <w:color w:val="auto"/>
        </w:rPr>
      </w:pPr>
    </w:p>
    <w:p>
      <w:pPr>
        <w:ind w:left="1080" w:right="20" w:hanging="424"/>
        <w:spacing w:after="0" w:line="24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Clear biological rationale. </w:t>
      </w:r>
      <w:r>
        <w:rPr>
          <w:rFonts w:ascii="Times New Roman" w:cs="Times New Roman" w:eastAsia="Times New Roman" w:hAnsi="Times New Roman"/>
          <w:sz w:val="18"/>
          <w:szCs w:val="18"/>
          <w:color w:val="auto"/>
        </w:rPr>
        <w:t>The C1s protein has been well studied and extensively described in scientific literature. The classical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 pathway plays a clear role in antibody-mediated autoimmune and inflammatory diseases, such as gMG and others, given that the C1 complex, through C1q, directly binds to IgG and IgM antibody-antigen complexes that are generated during disease pathogenesis. This binding triggers activation of proteases, such as active C1s, which leads to cleavage of complement proteins, convertase generation and ultimately formation of the MAC on cell surfaces leading to cell death and tissue damage. In addition, ENJAYMO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marketed by Sanofi S.A., is a C1s inhibitor that binds to both proC1s and active C1s and is an approved and effective treatment for hemolysis in adults with CAD. However, given it is not selective for the active form of the protein, the recommended dose by weight is 6,500 – 7,500mg administered Q2W through intravenous infusion during the maintenance period. Therefore, we believe there is an opportunity for an active C1s inhibitor that is designed to support lower dose, more convenient S.C. dosing (i.e., DNTH103’s target product profile).</w:t>
      </w:r>
    </w:p>
    <w:p>
      <w:pPr>
        <w:spacing w:after="0" w:line="10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therapeutic potential in classical complement pathway-implicated diseases. </w:t>
      </w:r>
      <w:r>
        <w:rPr>
          <w:rFonts w:ascii="Times New Roman" w:cs="Times New Roman" w:eastAsia="Times New Roman" w:hAnsi="Times New Roman"/>
          <w:sz w:val="18"/>
          <w:szCs w:val="18"/>
          <w:color w:val="auto"/>
        </w:rPr>
        <w:t>The classical pathway is activated through interaction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C1 complex with antibody-antigen complexes. We believe it is therefore rational to propose that compounds specifically targeting the classical pathway and specifically active C1s, such as DNTH103, would be well-suited for the potential treatment of autoimmune or inflammatory disease conditions where autoantibodies are implicated. Beyond gMG, we are also evaluating diseases in which the classical pathway plays a significant role in the disease pathology, such as MMN and CIDP. We expect to progress DNTH103 into Phase 2 clinical trials in these indications in 2024, beginning with MMN in the first half of 2024 and CIDP in the second half of 2024, subject to IND clearances or other regulatory authorizations.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DNTH103 for the Treatment of Generalized Myasthenia Gravis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Myasthenia Gravis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MG is a rare, chronic autoimmune disease characterized by muscle weakness due to inhibition of acetylcholine mediated muscle contraction. In MG, patients have autoantibodies directed against specific proteins of the neuromuscular endplate. MG is most commonly diagnosed in women between 20 and 39 years of age, and in men between 50 and 70 years of age. Clinically, MG can be classified as either ocular or generalized (gMG). In ocular MG, impairment is limited to the eye muscles, with symptoms such as diplopia and ptosis. Approximately 80% of ocular MG cases progress to gMG. MG has an estimated prevalence of approximately 70,000 individuals in the United States. However, given this disease is often underdiagnosed, estimated diagnosed prevalence of MG in the United States has been reported to be as high as approximately 90,000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individuals. Common symptoms of gMG include weakness of limb muscles and dysphagia (difficulty swallowing) or slurred speech resulting from weakness of oropharyngeal muscles (those involved in jaw and throat movement). Weakness of respiratory muscles is of particular concern, as it may lead to myasthenic crisis, a life-threatening condition requiring ventilatory support that occurs in approximately 15-20% of gMG patients. Patients with gMG may experience impaired vision, speech, and mobility; shortness of breath; difficulty swallowing and eating; and fatigue, all of which can have a profound negative effect on activities of daily life. Measures of both mental and physical health indicate a substantially lower quality of life for patients with gMG compared with the general population. Quality of life can be further negatively impacted in patients with refractory MG in terms of disease exacerbations, emergency department visits, and hospitalizations.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Classical Pathway and C1s in the Pathogenesis of Myasthenia Gravis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approximately 85% of gMG cases antibodies to the acetylcholine receptors are identified (AChR+ gMG patents). These autoantibodies bind to the acetylcholine receptor and activate C1q which activates C1r. C1r in turn activates C1s which undergoes a conformational change allowing it to cleave C4 and initiating the classical complement pathway. Classical pathway activation ultimately results in MAC associated destruction at the motor end plate. As illustrated in the figure below, antibody-mediated classical complement activation leads to significant damage at the neuromuscular junction in patients with gMG, with the loss of characteristic anatomical folds.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145415</wp:posOffset>
            </wp:positionV>
            <wp:extent cx="4328795" cy="3334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2879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 gMG Treatments and their Limitations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acetylcholinesterase inhibitor pyridostigmine has been used to treat neuromuscular symptoms of gMG since the 1950s. However, most patients require additional immunosuppressants such as steroids, azathioprine, mycophenolate, cyclosporine A, or rituximab. Although these therapies have shown some success, many patients continue to have unmet need and experience undesirable side effects, and none of these therapies have been approved for gMG. The treatment landscape for MG has continued to evolve. Plasmapheresis and I.V.</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320" w:top="482" w:right="5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immunoglobulin therapy are therapeutic options, although these are more invasive treatments often reserved for MG crisis. FcRn targeted therapy is another treatment for gMG. FcRn promotes activity of pathogenic autoantibodies by protecting IgG from degradation. Efgartigimod, marketed as Vyvgart, is a humanized anti-FcRn-IgG1 Fc fragment that is designed to reduce the level of all serum IgG and AChR antibodies and was approved by the FDA for the treatment of gMG in adult patients who are AChR antibody positive in 2021. Vyvgart’s current dosing paradigm is 10 mg/kg administered as an I.V. infusion over one hour once weekly for four weeks. In patients weighing 120 kg or more, the recommended dose is 1200 mg per infusion. An S.C. formulation of Vyvgart, Vyvgart Hytrulo, was approved by the FDA in 2023. The S.C. formulation dosing paradigm is 1008 mg per injection over approximately thirty to ninety seconds once weekly for four weeks and administration must be by a healthcare professional. For both formulations, patients are then required to go off treatment allowing IgG level to return towards baseline prior to re-dosing, with a recommended waiting period of at least 50 days from the start of the previous treatment cycle.</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Complement inhibitors for the treatment of AChR antibody-positive gMG emerged in 2017 with eculizumab, marketed as Soliris, a recombinant humanized monoclonal antibody against complement protein C5. More recently, another C5 inhibitor, ravulizumab, marketed as Ultomiris, was approved by the FDA for the treatment of adult patients with gMG who are AChR antibody positive in 2022. These treatments require higher dose I.V. infusions and carry the risk of life- threatening infections such as meningococcal infections due to being terminal complement inhibitors, and, as a result, have an FDA Boxed Warning and an associated REMS program.</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such, we believe DNTH103 has the potential to meaningfully transform the standard of care in gMG as a potent, lower dose, lower frequency, self-administered S.C. injection with no FDA Boxed Warning or REMS or requirement for cycling of treatment such as with FcRn inhibitors. As it is designed to be a more patient-friendly, predictable, convenient and a less burdensome biologic, DNTH103 has the potential to become a first-line biologic treatment option. Thus, DNTH103 could compete for early treatment of AChR positive gMG patients versus intravenous immune globulin (“IVIG”), terminal complement inhibitors and neonatal fragment crystallizable receptor (“FcRn”) inhibitors, as well as for use in patients that do not adequately respond to other biologics such as IVIG or FcRn inhibitors.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Phase 1 Healthy Volunteer Study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DNTH103 is currently being evaluated in a first-in-human Phase 1 single and multiple ascending dose trial in healthy adult volunteers between the ages of 18 and 65 in New Zealand. We initiated this trial in November 2022 following approvals from the Health and Disability Ethics Committee (“HDEC”) and the New Zealand Medicines and Medical Devices Safety Authority. The primary objective of the trial is to evaluate the safety and tolerability of DNTH103 and secondary objectives include evaluating pharmacokinetics, pharmacodynamics and immunogenicity—this study is not powered for statistical significance.</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trial is structured to include both a single-ascending dose and multiple ascending dose cohorts. The SAD part of this trial involves up to seven cohorts of up to 56 participants assigned to receive a single dose of DNTH103 or placebo in a 6:2 ratio. Doses in the SAD part of this trial may range from 1mg/kg to 50mg/kg I.V. infusion across four cohorts and 300mg to 600mg S.C. injection across three cohorts. The MAD part of this trial involves two cohorts of up to 16 participants assigned to receive three doses, two weeks apart, of DNTH103 or placebo in a 6:2 ratio administered S.C. Doses in the MAD part of the trial may range from 300mg to 600mg S.C. injections across two cohorts. Participants are followed for eight weeks after the first dose in a blinded placebo- controlled core phase before entering an unblinded extension to continue PK and PD monitoring.</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DNTH103 has completed the dose cohorts that are required to progress into Phase 2 clinical trials, pending regulatory authorizations. In August of 2023, Dianthus reported data from 52 healthy volunteers that have been dosed across seven cohorts, including five SAD cohorts: 1mg/kg I.V., 10mg/kg I.V., 30mg/kg I.V., 300mg S.C.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and 600mg S.C.; and two MAD cohorts: 300mg S.C. and 600mg. S.C. Based on the clinical data available to date, DNTH103 has been generally well-tolerated, with no SAEs or complement-related infections, and demonstrated potent inhibition of the classical pathway and half-life of approximately 60 days. This favorable PK and PD profile allows DNTH103 to surpass the IC90 with Q2W dosing of a single 300mg/2mL S.C. injection. We conducted a PK simulation, utilizing the data from the 52 healthy volunteers, following an initial loading dose, that demonstrates 300mg S.C. DNTH103 serum concentration at steady state, when dosed Q2W, exceeds the DNTH103 serum concentration of 83ug/mL required to surpass IC90. We believe, based on published scientific literature related to other complement therapies, that the IC90 will be sufficient to achieve clinical activity in patients with neuromuscular autoimmune diseases such as gMG.</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Data from the Phase 1 clinical trial of DNTH103 is expected to inform the design, parameters and objectives of a subsequent Phase 2 trial in gMG patients, as well as support the initiation of additional Phase 2 clinical trials in other indications.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intend to submit an IND in the United States in the fourth quarter of 2023 and, subsequently, a CTA in the European Union to support the initiation of a global Phase 2 clinical trial in gMG in the first quarter of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Planned Phase 2 Generalized Myasthenia Gravis Trial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Phase 2 clinical trial is designed to be a global, multi-center, randomized, double-blind, placebo-controlled study in up to 60 patients on stable background therapy. The primary objective of this trial is expected to be to evaluate the safety and tolerability of DNTH103 in patients with gMG. The secondary objective of this trial is expected to be to evaluate the clinical efficacy as well as PK and PD to support dose selection of DNTH103 in future trials of DNTH103 in patients with gMG. Following an initial loading dose, DNTH103 is planned to be administered Q2W to these patients through S.C. injection. The S.C. treatment duration is expected to initially be 12 weeks with a 52-week open label extension. We intend to initiate a Phase 2 gMG trial in the first quarter of 2024 and report top-line results in the second half of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Vitro Myasthenia Gravis Proof of Concept Study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DNTH103 was studied in a validated functional in vitro experiment simulating the neuromuscular junction in patients with AChR antibody positive MG with the objective of evaluating the impact of DNTH103 on muscle fatigue, a composite measure of neurotransmission and muscle contraction. In AChR antibody positive MG, IgG1 or IgG3 autoantibodies to the acetylcholine receptor induce local classical pathway activation and MAC formation, resulting in neuromuscular junction damage and subsequent disruption of neurotransmission and muscle contraction. Similar functional in vitro studies from Hesperos, Inc., have been published in peer-reviewed journals and used to support IND submissions for other neuromuscular conditions such as MMN and CIDP.</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this experiment, the nerve cells are continuously stimulated for two minutes and measurements of the muscle contractions are collected. The impact of the addition of serum from three different AChR antibody positive MG patients to the simulated neuromuscular junction was then assessed, causing muscle contraction to become weaker and fatigue due to neurotransmission impairment. The percent change in muscle fatigue index to baseline was then examined following the introduction of 1.0 µM of a tested recombinantly-generated form (in-vitro synthesized molecules whose molecular structure is predicted to be identical based on amino acid sequences from patent filings) of ravulizumab, and two concentrations of DNTH103, 1.0 µM and 0.1 µM. The results (as shown below) demonstrate that ravulizumab reduced muscle fatigue in AChR antibody positive MG patient samples, as expected. DNTH103 also reduced muscle fatigue in AChR antibody positive MG patient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samples, indicating an improvement in neurotransmission and muscle contraction. The results provide further scientific rationale for DNTH103 in gMG.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179070</wp:posOffset>
            </wp:positionV>
            <wp:extent cx="3137535" cy="2099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3753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using patent sequence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left="120" w:right="360" w:firstLine="440"/>
        <w:spacing w:after="0" w:line="270" w:lineRule="auto"/>
        <w:rPr>
          <w:sz w:val="20"/>
          <w:szCs w:val="20"/>
          <w:color w:val="auto"/>
        </w:rPr>
      </w:pPr>
      <w:r>
        <w:rPr>
          <w:rFonts w:ascii="Times New Roman" w:cs="Times New Roman" w:eastAsia="Times New Roman" w:hAnsi="Times New Roman"/>
          <w:sz w:val="17"/>
          <w:szCs w:val="17"/>
          <w:color w:val="auto"/>
        </w:rPr>
        <w:t>We evaluated the potency of DNTH103 in vitro in a direct lysis assay using human RBCs, and for comparison also tested recombinantly-generated forms (in-vitro synthesized molecules whose molecular structure is predicted to be identical based on amino acid sequences from patent filings) of marketed antibody therapeutics, sutimlimab and ravulizumab. These latter antibodies target C1s (both active and inactive C1s) and C5, respectively. In one representative direct lysis experiment, the IC50, a widely used and informative measure of a drug’s efficacy, for DNTH103 was</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5.8nM compared to 29.5nM for sutimlimab and 28.4nM for ravulizumab as shown in the figure below. While it is possible that findings in clinical trials will differ and the recombinantly-generated comparators may have subtle differences to the marketed products, this experiment demonstrates that a significantly lower dose of DNTH103 is required to achieve IC50 compared to sutimlimab and ravulizumab.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146685</wp:posOffset>
            </wp:positionV>
            <wp:extent cx="5186045" cy="1757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604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3340" w:hanging="4"/>
        <w:spacing w:after="0" w:line="282" w:lineRule="auto"/>
        <w:tabs>
          <w:tab w:leader="none" w:pos="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run. Average IC50s are comparable, but run to run variability observed for all mAbs. ** Competitor products generated in the lab using amino acid sequences from patent filings.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Safety Pharmacology and Toxicology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DNTH103 has been evaluated in several in vitro and in vivo preclinical studies. We believe the results from completed preclinical PK, PD, and toxicology studies supported further evaluation of DNTH103 in clinical trials. The following represents our summary observations from our preclinical studies:</w:t>
      </w:r>
    </w:p>
    <w:p>
      <w:pPr>
        <w:spacing w:after="0" w:line="77" w:lineRule="exact"/>
        <w:rPr>
          <w:sz w:val="20"/>
          <w:szCs w:val="20"/>
          <w:color w:val="auto"/>
        </w:rPr>
      </w:pPr>
    </w:p>
    <w:p>
      <w:pPr>
        <w:jc w:val="both"/>
        <w:ind w:left="1080" w:right="140" w:hanging="424"/>
        <w:spacing w:after="0" w:line="26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Long-half life. </w:t>
      </w:r>
      <w:r>
        <w:rPr>
          <w:rFonts w:ascii="Times New Roman" w:cs="Times New Roman" w:eastAsia="Times New Roman" w:hAnsi="Times New Roman"/>
          <w:sz w:val="18"/>
          <w:szCs w:val="18"/>
          <w:color w:val="auto"/>
        </w:rPr>
        <w:t>PK analysis following 3-100 mg/kg I.V. or S.C. administration of DNTH103 showed an elimination half-life of up to 21.7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a single dose and 29.3 days after Q2W dosing for six months in NHPs. This is in contrast to the approximately 8-12 days half-life for a non-Fc-engineered IgG in NHPs;</w:t>
      </w:r>
    </w:p>
    <w:p>
      <w:pPr>
        <w:spacing w:after="0" w:line="76" w:lineRule="exact"/>
        <w:rPr>
          <w:rFonts w:ascii="Times New Roman" w:cs="Times New Roman" w:eastAsia="Times New Roman" w:hAnsi="Times New Roman"/>
          <w:sz w:val="18"/>
          <w:szCs w:val="18"/>
          <w:color w:val="auto"/>
        </w:rPr>
      </w:pPr>
    </w:p>
    <w:p>
      <w:pPr>
        <w:ind w:left="1080" w:right="8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Linear PK.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PK studies in NHPs showed that DNTH103 exhibited dose proportional exposure when administered I.V. or S.C.,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dose-dependent changes in PK properties as evidenced by the consistent half-life across doses; and</w:t>
      </w:r>
    </w:p>
    <w:p>
      <w:pPr>
        <w:spacing w:after="0" w:line="6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Favorable Preclinical Safety Data. </w:t>
      </w:r>
      <w:r>
        <w:rPr>
          <w:rFonts w:ascii="Times New Roman" w:cs="Times New Roman" w:eastAsia="Times New Roman" w:hAnsi="Times New Roman"/>
          <w:sz w:val="18"/>
          <w:szCs w:val="18"/>
          <w:color w:val="auto"/>
        </w:rPr>
        <w:t>Based on NHP GLP and non-GLP toxicology studies completed to date, DNTH103 was generally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tolerated at 200 mg/kg I.V. in the 29-day study with three repeat doses administered Q2W, and at 20 mg/kg S.C. in the 26-week study with 13 repeat doses administered Q2W. As further described below, we consider the human-relevant no observed adverse effect level (“NOAEL”) in the 26-week study to be 200 mg/kg S.C., the highest dose of DNTH103 evaluated in the study.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Pharmacokinetics / Toxicokinetics in Non-Human Primates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Two stand-alone single-dose PK studies were conducted in NHPs, with the overall range of doses explored between 3-100 mg/kg I.V. and 3-100 mg/kg S.C. Following S.C. administration of 3 mg/kg or 100 mg/kg DNTH103, slow absorption was evident with median time to peak concentration (“Tmax”) ranging from three to seven days, as anticipated for S.C. administration. The Tmax after I.V. administration was at the end of the approximately one hour infusion. Serum levels of DNTH103 indicated an elimination half-life of up to 21.7 days following I.V. and S.C. administration, and reasonable dose proportionality was seen with both routes of administration.</w:t>
      </w:r>
    </w:p>
    <w:p>
      <w:pPr>
        <w:spacing w:after="0" w:line="183" w:lineRule="exact"/>
        <w:rPr>
          <w:sz w:val="20"/>
          <w:szCs w:val="20"/>
          <w:color w:val="auto"/>
        </w:rPr>
      </w:pPr>
    </w:p>
    <w:p>
      <w:pPr>
        <w:ind w:left="120" w:firstLine="440"/>
        <w:spacing w:after="0" w:line="202" w:lineRule="auto"/>
        <w:rPr>
          <w:sz w:val="20"/>
          <w:szCs w:val="20"/>
          <w:color w:val="auto"/>
        </w:rPr>
      </w:pPr>
      <w:r>
        <w:rPr>
          <w:rFonts w:ascii="Times New Roman" w:cs="Times New Roman" w:eastAsia="Times New Roman" w:hAnsi="Times New Roman"/>
          <w:sz w:val="18"/>
          <w:szCs w:val="18"/>
          <w:color w:val="auto"/>
        </w:rPr>
        <w:t>Toxicokinetic data was also collected as part of the 29-day and 26-week good laboratory practice (“GLP”) repeat dose toxicology studies in NHPs. Exposure to DNTH103, as assessed by mean maximum observed concentration measured after dosing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and area under the concentration-time curve (“AUC</w:t>
      </w:r>
      <w:r>
        <w:rPr>
          <w:rFonts w:ascii="Times New Roman" w:cs="Times New Roman" w:eastAsia="Times New Roman" w:hAnsi="Times New Roman"/>
          <w:sz w:val="26"/>
          <w:szCs w:val="26"/>
          <w:color w:val="auto"/>
          <w:vertAlign w:val="subscript"/>
        </w:rPr>
        <w:t>tau</w:t>
      </w:r>
      <w:r>
        <w:rPr>
          <w:rFonts w:ascii="Times New Roman" w:cs="Times New Roman" w:eastAsia="Times New Roman" w:hAnsi="Times New Roman"/>
          <w:sz w:val="18"/>
          <w:szCs w:val="18"/>
          <w:color w:val="auto"/>
        </w:rPr>
        <w:t>”), increased in a dose proportional manner.</w:t>
      </w:r>
    </w:p>
    <w:p>
      <w:pPr>
        <w:spacing w:after="0" w:line="92" w:lineRule="exact"/>
        <w:rPr>
          <w:sz w:val="20"/>
          <w:szCs w:val="20"/>
          <w:color w:val="auto"/>
        </w:rPr>
      </w:pPr>
    </w:p>
    <w:p>
      <w:pPr>
        <w:ind w:left="1080" w:hanging="424"/>
        <w:spacing w:after="0" w:line="209"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29-day study, minor accumulation was observed after repeat I.V. and S.C. administration. At the I.V. NOAEL of 200 mg/kg, serum DNTH103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and AUC</w:t>
      </w:r>
      <w:r>
        <w:rPr>
          <w:rFonts w:ascii="Times New Roman" w:cs="Times New Roman" w:eastAsia="Times New Roman" w:hAnsi="Times New Roman"/>
          <w:sz w:val="26"/>
          <w:szCs w:val="26"/>
          <w:color w:val="auto"/>
          <w:vertAlign w:val="subscript"/>
        </w:rPr>
        <w:t>tau</w:t>
      </w:r>
      <w:r>
        <w:rPr>
          <w:rFonts w:ascii="Times New Roman" w:cs="Times New Roman" w:eastAsia="Times New Roman" w:hAnsi="Times New Roman"/>
          <w:sz w:val="18"/>
          <w:szCs w:val="18"/>
          <w:color w:val="auto"/>
        </w:rPr>
        <w:t xml:space="preserve"> values after the final doses (on Day 29) were 7860 µg/mL and 28000 day*µg/mL, respectively. At the S.C. NOAEL of 70 mg/kg, serum DNTH103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and AUC</w:t>
      </w:r>
      <w:r>
        <w:rPr>
          <w:rFonts w:ascii="Times New Roman" w:cs="Times New Roman" w:eastAsia="Times New Roman" w:hAnsi="Times New Roman"/>
          <w:sz w:val="26"/>
          <w:szCs w:val="26"/>
          <w:color w:val="auto"/>
          <w:vertAlign w:val="subscript"/>
        </w:rPr>
        <w:t>tau</w:t>
      </w:r>
      <w:r>
        <w:rPr>
          <w:rFonts w:ascii="Times New Roman" w:cs="Times New Roman" w:eastAsia="Times New Roman" w:hAnsi="Times New Roman"/>
          <w:sz w:val="18"/>
          <w:szCs w:val="18"/>
          <w:color w:val="auto"/>
        </w:rPr>
        <w:t xml:space="preserve"> values after the final doses (on Day 29) were 937 µg/mL and 12200 day*µg/mL, respectively.</w:t>
      </w:r>
    </w:p>
    <w:p>
      <w:pPr>
        <w:spacing w:after="0" w:line="104" w:lineRule="exact"/>
        <w:rPr>
          <w:rFonts w:ascii="Times New Roman" w:cs="Times New Roman" w:eastAsia="Times New Roman" w:hAnsi="Times New Roman"/>
          <w:sz w:val="18"/>
          <w:szCs w:val="18"/>
          <w:color w:val="auto"/>
        </w:rPr>
      </w:pPr>
    </w:p>
    <w:p>
      <w:pPr>
        <w:ind w:left="1080" w:hanging="424"/>
        <w:spacing w:after="0" w:line="19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26-week study, a minor but inconsistent trend was observed toward higher peak and total exposure in male animals compared to female animals. However, intergroup differences for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and AUC</w:t>
      </w:r>
      <w:r>
        <w:rPr>
          <w:rFonts w:ascii="Times New Roman" w:cs="Times New Roman" w:eastAsia="Times New Roman" w:hAnsi="Times New Roman"/>
          <w:sz w:val="26"/>
          <w:szCs w:val="26"/>
          <w:color w:val="auto"/>
          <w:vertAlign w:val="subscript"/>
        </w:rPr>
        <w:t>s</w:t>
      </w:r>
      <w:r>
        <w:rPr>
          <w:rFonts w:ascii="Times New Roman" w:cs="Times New Roman" w:eastAsia="Times New Roman" w:hAnsi="Times New Roman"/>
          <w:sz w:val="18"/>
          <w:szCs w:val="18"/>
          <w:color w:val="auto"/>
        </w:rPr>
        <w:t xml:space="preserve"> suggest there was no meaningful exposure differences in the sexes. At the S.C. NOAEL of 20 mg/kg, serum DNTH103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and AUC</w:t>
      </w:r>
      <w:r>
        <w:rPr>
          <w:rFonts w:ascii="Times New Roman" w:cs="Times New Roman" w:eastAsia="Times New Roman" w:hAnsi="Times New Roman"/>
          <w:sz w:val="13"/>
          <w:szCs w:val="13"/>
          <w:color w:val="auto"/>
        </w:rPr>
        <w:t>0-336</w:t>
      </w:r>
      <w:r>
        <w:rPr>
          <w:rFonts w:ascii="Times New Roman" w:cs="Times New Roman" w:eastAsia="Times New Roman" w:hAnsi="Times New Roman"/>
          <w:sz w:val="18"/>
          <w:szCs w:val="18"/>
          <w:color w:val="auto"/>
        </w:rPr>
        <w:t xml:space="preserve"> values after the final dose (on Day 169) were 590 µg/mL and 7180 day*µg/mL, respectively, and mean half-life was 29.3 days. Across the dose range of 70 to 200 mg/kg DNTH103, mean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increased approximately 2-fold (1970 to 3850 µg/mL) and after the final dose (on Day 183) of 200 mg/kg DNTH103, the mean half-life was 24.6 days and accumulation of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and AUC</w:t>
      </w:r>
      <w:r>
        <w:rPr>
          <w:rFonts w:ascii="Times New Roman" w:cs="Times New Roman" w:eastAsia="Times New Roman" w:hAnsi="Times New Roman"/>
          <w:sz w:val="13"/>
          <w:szCs w:val="13"/>
          <w:color w:val="auto"/>
        </w:rPr>
        <w:t>0-168</w:t>
      </w:r>
      <w:r>
        <w:rPr>
          <w:rFonts w:ascii="Times New Roman" w:cs="Times New Roman" w:eastAsia="Times New Roman" w:hAnsi="Times New Roman"/>
          <w:sz w:val="18"/>
          <w:szCs w:val="18"/>
          <w:color w:val="auto"/>
        </w:rPr>
        <w:t xml:space="preserve"> relative to Day 1 was approximately 2.5-fold and 2.7-fold, respectively.</w:t>
      </w:r>
    </w:p>
    <w:p>
      <w:pPr>
        <w:spacing w:after="0" w:line="19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an 8-day single-dose GLP study in NHPs a single S.C. injection of 70 mg/kg DNTH103 was evaluated using two different formulations of DNTH103, which were 100 mg/mL and 150 mg/mL. The toxicokinetic properties of the two formulations were similar, including peak concentration time and total exposure.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Toxicology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Single Dose: 8-day GLP study and non-GLP PK study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injection site tolerability of DNTH103 was evaluated in a single-dose GLP study in NHPs following a single S.C. injection of 70 mg/kg DNTH103, formulated at concentrations of 100 mg/mL and 150 mg/mL. Administration of DNTH103 by a single S.C. injection on Day 1 using two different formulations, 100 mg/mL and 150 mg/mL, was well tolerated. DNTH103-related microscopic findings at the injection site were only observed on Day 2, following administration of the 150 mg/mL formulation. Findings included minimal to mild mixed cell inflammation, minimal mononuclear cell infiltration, hemorrhage, edema and/or erythrophagocytosis within the S.C. injection site. These findings were not observed on Day 8, suggesting resolution of the findings observed on Day 2, nor were these findings observed following administration of the 100 mg/mL formulation.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a limited set of safety assessments were included as part of a non-GLP single dose PK study in NHPs, which aided dose selection for the subsequent pivotal 29-day NHP GLP repeat-dose toxicology study. These included clinical observations, injection site observations, body weight and limited clinical pathology. In this non-GLP PK study, transient loose stools and dehydration were observed in two out of three NHPs administered 3 mg/kg S.C. and three out of three NHPs administered 100 mg/kg S.C.; however, no notable observations were recorded for NHPs administered 100 mg/kg I.V. and no clear dose response was established. Therefore, these changes were not regarded as test-article related. Overall, no DNTH103-related adverse clinical observations were noted, and there were no DNTH103-related effects on body weight, clinical chemistry, or hematology parameters at I.V. and S.C. dose levels up to 100 mg/kg.</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Multiple Dose Studies: 29-Day and 26-Week Studies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potential toxicological effects of DNTH103 were evaluated in two NHP studies: a GLP, 29-day repeat-dose toxicity study and a GLP 26-week repeat dose toxicity study.</w:t>
      </w:r>
    </w:p>
    <w:p>
      <w:pPr>
        <w:spacing w:after="0" w:line="67" w:lineRule="exact"/>
        <w:rPr>
          <w:sz w:val="20"/>
          <w:szCs w:val="20"/>
          <w:color w:val="auto"/>
        </w:rPr>
      </w:pPr>
    </w:p>
    <w:p>
      <w:pPr>
        <w:ind w:left="1080" w:hanging="424"/>
        <w:spacing w:after="0" w:line="27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29-day repeat dose toxicity study, repeat I.V. and S.C. dosing of DNTH103 Q2W, all dose levels of 3, 70 or 200 mg/kg I.V. and 70 mg/kg S.C. were well tolerated in NHPs, resulting in no adverse findings. Specifically, there were no DNTH103-related clinical observations, neurological/musculoskeletal observations, changes in body weight, blood pressure, respiratory rate, body temperature, ophthalmology, electrocardiography, immunophenotyping by flow cytometry or urinalysis parameters and there were no DNTH103-related changes in organ weights, gross or microscopic pathology findings. Some mild to minimal reversible changes were observed in clinical pathology, complement levels and at the injection site, but only the elevation in complement C3a was conclusively attributed to DNTH103 administration and was considered non-adverse and toxicologically irrelevant. Given the absence of any DNTH103-related adverse effects, the NOAELs were 200 mg/kg I.V. and 70 mg/kg S.C., the highest doses evaluated for each route of administration in the study.</w:t>
      </w:r>
    </w:p>
    <w:p>
      <w:pPr>
        <w:spacing w:after="0" w:line="77" w:lineRule="exact"/>
        <w:rPr>
          <w:rFonts w:ascii="Times New Roman" w:cs="Times New Roman" w:eastAsia="Times New Roman" w:hAnsi="Times New Roman"/>
          <w:sz w:val="17"/>
          <w:szCs w:val="17"/>
          <w:color w:val="auto"/>
        </w:rPr>
      </w:pPr>
    </w:p>
    <w:p>
      <w:pPr>
        <w:ind w:left="1080" w:right="60" w:hanging="424"/>
        <w:spacing w:after="0" w:line="25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26-week repeat dose toxicity study, sexually mature NHPs received DNTH103 Q2W at dose levels of 20, 70 and 200 mg/kg S.C. The only adverse findings associated with the administration of DNTH103 indicate immune complex disease associated with ≥ 70 mg/kg DNTH103 in NHPs. These findings are consistent with previous preclinical reports of immune complex formation in NHPs administered human antibodies and are not predictive of immune complex formation in humans. Due to the adverse nature of immune complex disease in NHPs following administration of ≥ 70 mg/kg DNTH103, a human monoclonal antibody foreign to NHPs, the NOAEL for the 26-week repeat dose toxicity study was 20 mg/kg DNTH103 for NHPs. Because this immunogenicity finding is not predictive to humans, we consider the human-relevant NOAEL as 200 mg/kg S.C., the highest dose of DNTH103 evaluated in the study.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DNTH103 for the Treatment of Other Autoimmune and Inflammatory Diseases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classical pathway is activated through interaction of the C1 complex with antibody-antigen complexes. We believe it is therefore rational to propose that compounds specifically targeting the classical pathway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specifically C1s, such as DNTH103, would be well-suited for the potential treatment of autoimmune or inflammatory disease conditions where autoantibodies are implicated, such as MMN and CIDP.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Multifocal Motor Neuropathy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Multifocal motor neuropathy is a pure motor neuropathy associated with asymmetric deficits with predilection for upper limb involvement. It is an underrecognized disease with U.S. prevalence estimates of up to 10,000 individuals. MMN predominantly affects males as compared to females (3:1). Clinical symptoms consist of progressive or stepwise muscle weakness in the distribution of affected peripheral nerves, without loss of sensory modalities. The muscle weakness is asymmetric and causes predominantly upper limb weakness, such as weakness in hand grip, finger movements or wrist drop. The disease is progressive and can cause substantial disability and loss of function, due to involvement of upper limbs.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Classical Pathway and C1s in the Pathogenesis of MMN</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Approximately 50% of patients have an IgM autoantibody against GM1, a genetic disorder that progressively destroys nerve cells in the brain and spinal cord, that is found at nodes of Ranvier mainly in peripheral motor nerves, causing immune mediated motor neuropathy with variable conduction block. There is evidence to support the role of complement in the pathophysiology of MMN. Sera from MMN patients has been shown to activate complement in vitro. There is complement deposition in the affected nerves, and the degree of complement deposition correlates with the response to immunoglobulin therapy. As described below, inhibition of C1s reverses the pathological effects in a recently developed MMN model.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 MMN Treatments and their Limitations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Intravenous and subcutaneous immunoglobin therapy is approved by the FDA for treatment of adult patients with MMN. Most patients require chronic long-term therapy with immunoglobulins with variable response in up to 80% of patients. Steroids and PLEX are generally ineffective and can worsen clinical symptoms. Other immunosuppressants, such as rituximab, have been used with variable efficacy. Treatment options are limited and there remains a significant unmet clinical need for this disease, such as a selective C1s inhibitor in patients with MMN.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Chronic Inflammatory Demyelinating Polyneuropathy</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Chronic inflammatory demyelinating polyneuropathy is an autoimmune and inflammatory disorder affecting the myelin that insulates and protects peripheral nerves. CIDP is estimated to affect approximately 15,000 in the United States. Common symptoms of the disease include weakness, loss of balance, and sensation changes in the arms or legs. In the classic or typical CIDP, there is symmetric involvement of both upper and lower limbs, characterized by weakness in the proximal (for example, shoulder region or hip region) as well as distal (for example, wrist or ankle) muscle groups. In addition, there is sensory involvement. There are several atypical forms of CIDP, characterized by varying levels of motor and sensory involvement with overlap. CIDP follows a relapsing-remitting or a progressive clinical course, which can result in substantial disability, loss of motor and sensory function, and negative impact on quality of life.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Classical Pathway and C1s in the Pathogenesis of CIDP</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pathogenesis of CIDP involves a complex interplay of multiple aberrant immune responses, inflicting damage on the myelin sheath. The complement system appears to play a role in promoting macrophage-mediated demyelination. Complement deposition in sural nerve biopsies, as well as signs of increased complement activation in serum and cerebrospinal fluid of patients with CIDP, suggest complement involvement in CIDP. A recently developed human-on-a-chip conduction model (with CIDP and MMN phenotype) suggests that complement activation by CIDP and MMN patient serum is sufficient to mimic neurophysiological features of each disease and that C1s inhibition is sufficient to rescue these pathological effects.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 CIDP Treatments and their Limitations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Over 70% of CIDP patients require ongoing treatment with immunosuppressants such as IVIG, subcutaneous immune globulin (“SCIG”), plasmapheresis (“PLEX”) or steroids. Despite treatment, a significant number of patients do not achieve clinical remission and there remains a significant unmet clinical need for this disease. Given the role of complement system in the disease pathology, patients may benefit from a selective C1s inhibitor.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Expanding Our Pipeline of Additional Next-Generation Complement Therapeutics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 dedicated team of scientists with extensive complement and antibody experience focused on expanding our pipeline of next-generation complement therapeutics targeting the active form of complement proteins. We expect our ongoing discovery efforts to nominate a new development candidate for an additional complement target in the second half of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wholly own the patent portfolio covering our C1s selective antibodies, including three pending U.S. provisional applications, one pending PCT application, two pending non-provisional applications in the United States and pending foreign patent applications in China, Europe, Japan and Taiwan. The applications are directed to, among other things, antibodies that selectively bind to active C1s and methods of using these antibodies, including methods of treating C1s mediated disorders. Patents that could issue in the future that could cover DNTH103 would be expected to expire no earlier than 2043, subject to any disclaimers or extensions. We are developing potential pharmaceutical formulations for DNTH103 and will file patent applications to protect the same as appropriate.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programs. Given the company’s stage of development, we have not yet established a commercial organization or distribution capabilities. In June 2022, we entered into a license agreement with Zenas BioPharma for DNTH103, in which Zenas Biopharma has development and commercialization rights in the greater area of China. Aside from this area, we currently hold worldwide development and commercialization rights, including through exclusive licenses, to all of our product candidates.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product manufacturing, testing, storage, and distribution. We contract with third parties for the manufacture and distribution of our product candidates. Because we rely on contract manufacturers, we employ personnel with extensive technical, manufacturing, analytical and quality experience. Our staff has strong knowledge and understanding of the extensive regulations that govern manufacturing, documentation, quality assurance, and quality control of drug supply that are required to support our regulatory filings.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expect to face intense competition from other biopharmaceutical companies that are developing agents for the treatment of autoimmune and inflammatory diseases.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82"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Generalized Myasthenia Gravis.</w:t>
      </w:r>
    </w:p>
    <w:p>
      <w:pPr>
        <w:spacing w:after="0" w:line="119" w:lineRule="exact"/>
        <w:rPr>
          <w:sz w:val="20"/>
          <w:szCs w:val="20"/>
          <w:color w:val="auto"/>
        </w:rPr>
      </w:pPr>
    </w:p>
    <w:p>
      <w:pPr>
        <w:ind w:left="120" w:firstLine="440"/>
        <w:spacing w:after="0" w:line="201" w:lineRule="auto"/>
        <w:rPr>
          <w:sz w:val="20"/>
          <w:szCs w:val="20"/>
          <w:color w:val="auto"/>
        </w:rPr>
      </w:pPr>
      <w:r>
        <w:rPr>
          <w:rFonts w:ascii="Times New Roman" w:cs="Times New Roman" w:eastAsia="Times New Roman" w:hAnsi="Times New Roman"/>
          <w:sz w:val="18"/>
          <w:szCs w:val="18"/>
          <w:color w:val="auto"/>
        </w:rPr>
        <w:t>There is significant competition in gMG. AstraZeneca’s Soliris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Ultomiris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both I.V. as well as on-body S.C. device, C5 inhibitors, Argenx’s Vyvgart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(efgartigimod) and Vyvgart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Hytrulo, an I.V. and S.C. FcRn inhibitor, respectively, and UCB S.A. Rystiggo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(rozanolixizumab), a weekly S.C. infusion FcRn inhibitor and Zilbrysq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(zilucoplan), a daily S.C. injection C5 inhibitor, are approved by the FDA for the treatment of gMG in patients who are AChR positive. There are several other companies developing compounds in mid-to late-stage clinical development for the treatment of gMG using various approaches and modalities.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Multifocal Motor Neuropathy.</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Currently, Takeda’s Gammagard Liquid, a 10% Immune Globulin Infusion (Human), is the only therapy approved by the FDA for MMN. There are few agents in development for MMN. Argenx’s ARGX-117, an I.V. C2 inhibitor that blocks both the classical and lectin pathways is in a Phase 2 clinical trial. Takeda is conducting a Japan-based Phase 3 clinical trial of TAK-771, a 10% Immune Globulin and Recombinant Human Hyaluronidase (rHuPH20) delivered as an S.C. infusion.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Chronic Inflammatory Demyelinating Polyneuropathy.</w:t>
      </w:r>
    </w:p>
    <w:p>
      <w:pPr>
        <w:spacing w:after="0" w:line="119" w:lineRule="exact"/>
        <w:rPr>
          <w:sz w:val="20"/>
          <w:szCs w:val="20"/>
          <w:color w:val="auto"/>
        </w:rPr>
      </w:pPr>
    </w:p>
    <w:p>
      <w:pPr>
        <w:ind w:left="120" w:right="300" w:firstLine="440"/>
        <w:spacing w:after="0" w:line="216" w:lineRule="auto"/>
        <w:rPr>
          <w:sz w:val="20"/>
          <w:szCs w:val="20"/>
          <w:color w:val="auto"/>
        </w:rPr>
      </w:pPr>
      <w:r>
        <w:rPr>
          <w:rFonts w:ascii="Times New Roman" w:cs="Times New Roman" w:eastAsia="Times New Roman" w:hAnsi="Times New Roman"/>
          <w:sz w:val="18"/>
          <w:szCs w:val="18"/>
          <w:color w:val="auto"/>
        </w:rPr>
        <w:t>There is significant competition in CIDP, including, among others, Pfizer’s PANZYGA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10% Immune Globulin Infusion (Human), CSL Behring’s Hizentra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20% Immune Globulin S.C. (Human), and Grifols Therapeutics’ Gamunex-C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10% Immune Globulin Injection (Human), approved by the FDA for CIDP. Argenx is conducting a Phase 2 clinical trial of efgartigimod, an I.V. FcRn inhibitor. Sanofi is conducting a Phase 2 proof-of-concept clinical trial of SAR445088, a C1s inhibitor. Takeda is conducting a Japan-based Phase 3 clinical trial of TAK-771, a 10% Immune Globulin and Recombinant Human Hyaluronidase (rHuPH20) delivered as an S.C. injection.</w:t>
      </w:r>
    </w:p>
    <w:p>
      <w:pPr>
        <w:spacing w:after="0" w:line="19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Drug development is highly competitive and subject to rapid and significant technological advancements. Our ability to compete will significantly depend upon our ability to complete necessary clinical trials and regulatory approval processes, and effectively market any drug that we may successfully develop. Our current and potential future competitors include pharmaceutical and biotechnology companies, as well as academic institutions and government agencies. The primary competitive factors that will affect the commercial success of any product candidate for which we may receive marketing approval include efficacy, safety and tolerability profile, dosing convenience, price, coverage, reimbursement and public opinion. 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also have significantly more experience commercializing drugs that have been approved for marketing. Mergers and acquisitions in the biopharmaceutical industry could result in even more resources being concentrated among a small number of our competitors.</w:t>
      </w:r>
    </w:p>
    <w:p>
      <w:pPr>
        <w:spacing w:after="0" w:line="19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Accordingly, competitors may be more successful than us in obtaining regulatory approval for therapies and in achieving widespread market acceptance of their drugs. It is also possible that the development of a cure or more effective treatment method for any of our targeted indications by a competitor could render our product candidate non-competitive or obsolete, or reduce the demand for our product candidate before we can recover our development and commercialization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License and Services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Zenas BioPharma</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we entered into an option agreement with Zenas BioPharma, under which we agreed to grant Zenas BioPharma an exclusive option for an exclusive license under certain patents and know-how with respect to antibody sequences generated in a research program directed towards the research of monoclonal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antibody antagonists targeting the human Complement C1s and C2 proteins, or another human protein (each, a “Research Program”). In consideration for the option grant, we were issued Zenas BioPharma common stock equivalent to one percent of its shares outstanding prior to the Series A financing. On a Research Program-by-Research Program basis, Zenas BioPharma also agreed to pay us a one-time payment of $1 million upon exercising the option to enter into a license agreement with respect to such Research Program. The option may only be exercised for up to two Research Programs.</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June 10, 2022, in connection with Zenas BioPharma’s exercise of the option, we entered into a license agreement with Zenas BioPharma (the “Zenas License Agreement”), under which we granted Zenas BioPharma an exclusive, sublicensable license under certain patents and know-how to research, develop, manufacture, and commercialize monoclonal antibody antagonists targeting the human Complement C1s protein (including the antibody sequence of DNTH103) and, if and when the option is exercised, the human Complement C2 protein, in greater China (the “Territory”). As consideration for the license, we are eligible to receive (i) development milestone payments of up to $11 million, (ii) an approximate $1.1 million payment for reimbursement of a portion of development costs we previously incurred; (iii) reimbursement of a portion of certain CMC-related costs and expenses; and (iv) reimbursement of a portion of certain non-CMC-related costs and expenses. Additionally, we are eligible to receive royalty payments based on a percentage of the annual net sales of the Products sold on a region-by-region basis in the Territory. The royalty rate may vary from the mid-single digits to the low double-digits based on different tiers of annual net sales of the licensed products. Zenas BioPharma is obligated to make royalty payments to us for the royalty term of the Zenas License Agreement.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Biologics Master Services Agreement — WuXi Biologics (Hong Kong) Limited</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March 22, 2021, we entered into a biologics master services agreement (the “WuXi Biologics MSA”) with WuXi Biologics (Hong Kong) Limited (“WuXi Biologics”). The WuXi Biologics MSA governs development activities and GMP manufacturing and testing for DNTH103, as well as potential future candidates, on a work order basis. Under the WuXi Biologics MSA, we are obligated to pay WuXi Biologics a service fee and all non-cancellable obligations, including potential milestone payments, in the amount specified in each work order associated with the agreement for the provision of services.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WuXi Biologics MSA terminates on the later of (i) March 22, 2026 or (ii) the completion of services under all work orders executed by the parties prior to March 22, 2026,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us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Cell Line License Agreement — WuXi Biologics (Hong Kong) Limited</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March 22, 2021, we entered into a cell line license agreement (the “Cell Line License Agreement”) with WuXi Biologics. Under the Cell Line License Agreement, we received a non-exclusive, worldwide, sublicensable license to certain of WuXi Biologics’ know-how, cell line, biological materials (the “WuXi Biologics Licensed Technology”) and media and feeds to make, have made, use, sell and import certain drug products produced through the use of the cell line licensed by WuXi Biologics under the Cell Line License Agreement (the “WuXi Biologics Licensed Products”).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82"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U.S. Food and Drug Administration (the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Biologics Regulation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(“FDCA”) and the Public Health Service Act (“PHSA”) and their implementing regulations, as well as other federal, state, local, and foreign statutes and regulations. The process required by the FDA before biologic product candidates may be marketed in the United States generally involves the following:</w:t>
      </w:r>
    </w:p>
    <w:p>
      <w:pPr>
        <w:spacing w:after="0" w:line="81" w:lineRule="exact"/>
        <w:rPr>
          <w:sz w:val="20"/>
          <w:szCs w:val="20"/>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applicable regulations, including the FDA’s cGLP;</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ethics committee at each clinical site before the trial may be commenced;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proposed biologic candidate in accordance with cGMPs;</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cGCP requirements and other clinical-trial related regulations to establish the safety, purity and potency of the proposed biologic product candidate for its intended purpose;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potential audit of selected clinical investigation sites to assess compliance with GCPs;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waiver is applicable;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to permit commercial marketing of the product for a particular indication(s) for use in the United States.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guidance for whether or not a study may move forward at designated check points based on access to certain data from the study and may recommend halting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Sponsors of clinical trials of FDA-regulated products, including biological products, are required to register and disclose certain clinical trial information, which is publicly available at www.clinicaltrials.gov.</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trial was conducted in accordance with cGCP requirements and the FDA is able to validate the data through an onsite inspection if deemed necessary.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29" w:lineRule="exact"/>
        <w:rPr>
          <w:sz w:val="20"/>
          <w:szCs w:val="20"/>
          <w:color w:val="auto"/>
        </w:rPr>
      </w:pPr>
    </w:p>
    <w:p>
      <w:pPr>
        <w:jc w:val="both"/>
        <w:ind w:left="1080" w:right="300" w:hanging="424"/>
        <w:spacing w:after="0" w:line="267"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investigational product is initially introduced into healthy human subjects or patients with the target disease or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investigational product is administered to a limited patient population with a specified disease or condition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investigational product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Written IND safety reports must be promptly submitted to the FDA and the investigators for serious and unexpected suspected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BLA Submission and Review</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studies and clinical trials are submitted to the FDA as part of a BLA requesting approval to market the product for one or more indications. FDA approval of a BLA must be obtained before a biologic may be marketed in the United States.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if there is no such meeting, as early as practicable before the initiation of the Phase 3 or Phase 2/3 study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any biological product for an indication for which orphan designation has been granted.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typically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If a Complete Response Letter is issued, the applicant may either resubmit the BLA, addressing all of the deficiencies identified in the letter, or withdraw the application or request an opportunity for a hearing. The FDA may delay or refuse approval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of a BLA if applicable regulatory criteria are not satisfied, require additional testing or information and/or require post-marketing testing and surveillance to monitor safety or efficacy of a product.</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10 months under standard review).</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with due diligence to verify and describe the anticipated effect on irreversible morbidity or mortality or other clinical benefit. Under the Food and Drug Omnibus Reform Act of 2022 (“FDORA”), the FDA may require, as appropriate, that such studies be underway prior to approval or within a specific time period after the date of approval for a product granted accelerated approval. Under the FDORA, the FDA has increased authority for expedited procedures to withdraw approval of a product or indication approved under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products manufactured or distributed by Dianthus pursuant to FDA approvals are subject to pervasive and continuing regulation by the FDA, including, among other things, requirements relating to record-keeping,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60"/>
          </w:cols>
          <w:pgMar w:left="320" w:top="482"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Dianthus and any third-party manufacturers that it may decide to use. Accordingly, manufacturers must continue to expend time, money and effort in the area of production and quality control to maintain compliance with cGMPs and other aspects of regulatory compliance.</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penalties. Physicians may prescribe legally available products for uses that are not described in the product’s labeling and that differ from those tested by Dianthus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Biosimilars and Reference Product Exclusivity</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In September 2021, the FDA issued two guidance documents intended to inform prospective applicants and facilitate the development of proposed biosimilars and interchangeable biosimilars, as well as to describe the FDA’s interpretation of certain statutory requirements added by the BPCIA.</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FDA-approved interchangeable biosimilars may be substituted for the reference product without the intervention of the prescribing health care provider, subject to state laws, which differ by state.</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6"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discussed below, the Inflation Reduction Act of 2022 (“IRA”) is a significant new law that intends to foster generic and biosimilar competition and to lower drug and biologic costs.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180"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lease, order, arrangement,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Dianthus’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Civil and criminal false claims laws, including the FCA, and civil monetary penalty laws, which impose criminal and civil penalties and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The federal False Claims Act also permits a private individual acting as a “whistleblower” to bring actions on behalf of the federal government alleging violations of the federal False Claims Act and to share in any monetary recovery.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knowingly and willfully falsifying, concealing or covering up by any trick or device a material fact or making any materially false statements or representations relating to healthcare matters.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made to various healthcare professionals including physicians, certain other licensed health care practitioners,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spacing w:after="0" w:line="187"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are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Further, we are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it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(“HITECH”), and their respective implementing regulations imposes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violating consumers’ privacy rights or failing to take appropriate steps to keep consumers’ personal information secure may constitute unfair acts or practices in or affecting commerce in violation of Section 5(a) of the Federal Trade Commission Act.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which went into effect on January 1, 2020, creates new data privacy obligations for covered companies and provides new privacy rights to California residents.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its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Factors payors consider in determining reimbursement are based on whether the product is:</w:t>
      </w:r>
    </w:p>
    <w:p>
      <w:pPr>
        <w:spacing w:after="0" w:line="9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Dianthus cannot be sure that reimbursement will be available for any product candidate that it commercializes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its product candidates. Historically, products launched in the European Union do not follow price structures of the U.S. and generally prices tend to be significantly lower.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3"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Dianthus expects there will be additional challenges and amendments to the ACA in the future.</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the Budget Control Act of 2011 and subsequent legislation, among other things, created measures for spending reductions by Congress that include aggregate reductions of Medicare payments to providers of 2% per fiscal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year, which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the Bipartisan Budget Act of 2018, among other things, amended the Medicare Act (as amended by the ACA) to increase the point-of-sale discounts that manufacturers must agree to offer under the Medicare Part D coverage discount program to 70% off negotiated prices of applicable brand drugs to eligible beneficiaries during their coverage gap period, as a condition for the manufacturer’s outpatient drugs being covered under Medicare Part D.</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The IRA includes several provisions that may impact Dianthus’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 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7"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IRA and President Biden’s executive orders, continued legislative and enforcement interest exists in the United States with respect to specialty drug pricing practices. Specifically, Dianthus expects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Government Regulation Outside of the United States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an IND prior to the commencement of human clinical trials.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in the European Union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European Data Protection Laws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regarding individuals in the European Economic Area (“EEA”) is governed by the provisions of the European General Data Protection Regulation (EU) 2016/679 (“EU GDPR”) and related data protection laws in individual EEA member states, including additional requirements relating to health, genetic and biometric data implemented through national legislation. Similar processing of personal health data and other personal data regarding individuals in the United Kingdom (“UK”) is governed by the UK General Data Protection Regulation (“UK GDPR”) and the UK Data Protection Act 2018. In this document, “GDPR” refers to both the EU GDPR and the UK GDPR, unless specified otherwise.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the security and confidentiality of the personal data.</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82"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GDPR imposes specific restrictions on the transfer of personal data to countries outside of the EEA/UK that are not considered by the Europe Commission (“EC”) and the UK government as providing an adequate level of data protection (third countries), including the United States. Appropriate safeguards are required to enable such transfers. Among the appropriate safeguards that can be used, the data exporter may use the EC approved standard contractual clauses (“SCCs”) and the UK International Data Transfer Agreement/Addendum (“UK IDTA”). Where relying on the SCCs or UK IDTA for data transfers, Dianthus may also be required to carry out transfer impact assessments to assess whether the recipient is subject to local laws which allow public authority access to personal data. The international transfer obligations under the EEA/UK data protection regimes will require effort and cost and may result in it needing to make strategic considerations around where EEA/UK personal data is located and which service providers Dianthus can utilize for the processing of EEA/UK personal data. Although the UK is regarded as a third country under the EU GDPR, the EC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(“UK Data Protection Bill”) into the UK legislative process with the intention for this bill to reform the UK’s data protection regime following Brexit. If passed, the final version of the UK Data Protection Bill may have the effect of further altering the similarities between the UK and EU data protection regime.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March 25, 2022, the EC and the United States announced that they have agreed in principle on a new Trans-Atlantic Data Privacy Framework. Following this statement, on October 7, 2022, President Biden signed an Executive Order on ‘Enhancing Safeguards for United States Signals Intelligence Activities’, which implemented the agreement in principle. On that basis, the EC prepared a draft Adequacy Decision and launched its adoption procedure. While this new EU-U.S. privacy framework is expected to enter into force in 2023, there is still some uncertainty around the new framework.</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states/UK may result in significant monetary fines for noncompliance of up to €20 million (£17.5 million for the UK)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EEA member states/UK may still implement certain variations, enforce the GDPR and national data protection laws differently, and introduce additional national regulations and guidelines, which adds to the complexity of processing personal data subject to the EEA/UK data protection regimes. Guidance developed at both the EU level and at the national level in individual EU member states concerning implementation and compliance practices are often updated or otherwise revised.</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Compliance with the GDPR is a rigorous and time-intensive process that may increase our cost of doing business or require us to change our business practices, and despite those efforts, there is a risk that we may be subject to fines, penalties and litigation in connection with European activities, which could in turn have a negative effect on our reputation and materially harm our business.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there is a growing trend towards the required public disclosure of clinical trial data in the EU, which adds to the complexity of obligations relating to processing health data from clinical trials. Such public disclosure obligations are provided in the new EU Clinical Trials Regulation (EU) No. 536/2014 (the “CTR”), EMA disclosure initiatives and voluntary commitments by industry. Failure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CTR and the GDPR, further adds to the complexity that we face with regard to data protection regulation.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Drug and Biologic Development Process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Regardless of where they are conducted, all clinical trials included in applications for marketing authorization for human medicines in the EU must have been carried out in accordance with EU regulations. This means that clinical trials conducted in the EU have to comply with EU clinical trial legislation but also that clinical trials conducted outside the EU have to comply with ethical principles equivalent to those set out in the EU,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in the applicable EU member state(s) and one or more Ethics Committees. The national competent authority of all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national competent authorities and ethics committees. Under the current regime all suspected unexpected serious adverse reactions to the investigated drug that occur during the clinical trial must be reported to the national competent authority and to the ethics committees of the EU member state where they occur.</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more unified procedure applies under the CTR. A sponsor can submit a single application for approval of a clinical trial through a centralized EU clinical trials portal (the “Clinical Trials Information System” or “CTIS”). One national competent authority (the reporting EU member state proposed by the applicant) will take the lead in validating and evaluating the application, and will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On January 31, 2023, submission of initial clinical trial applications via CTIS became mandatory, and by January 31, 2025, all ongoing trials approved under the former Clinical Trials Directive will need to comply with the CTR and have to be transitioned to CTIS.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both the former regime and the CTR, national laws, regulations, and the applicable GCP and Good Laboratory Practice standards must also be respected during the conduct of the trials, including the International Council for Harmonization of Technical Requirements for Pharmaceuticals for Human Use guidelines on Good Clinical Practice and the ethical principles that have their origin in the Declaration of Helsinki.</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During the development of a medicinal product, the European Medical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for the product concerned.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Drug Marketing Authorization</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EU, medicinal products are subject to extensive pre- and post-market regulation by regulatory authorities at both the EU and national levels. To obtain regulatory approval of a product under the EU regulatory systems, Dianthus must submit an MAA under either the EU centralized procedure, or one of the national procedures in the EU.</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Centralized Authorization Procedure</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(“MA”) that is issued by the EC following the scientific assessment of the application by the EMA and that is valid for all EU member states as well as in the three additional EEA member states (Norway, Iceland and Liechtenstein). The centralized procedure is compulsory for certain types of medicinal products, including for medicines developed by means of certain biotechnological processes, products designated as orphan medicinal products, advanced therapy medicinal products (gene therapy, somatic cell therapy or tissue-engineered medicines) and medicinal products with a new active substance indicated for the treatment of certain diseases (HIV/AIDS, cancer, neurodegenerative disorders, diabetes, auto-immune and other immune dysfunctions and viral diseases). The centralized procedures is an option for medicinal products containing a new active substance not yet authorized in the EU, or for products that constitute a significant therapeutic, scientific or technical innovation or for which the grant of an MA through the centralized procedure would be in the interest of public health at the EU level.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the MA within 67 days after receipt of the CHMP opinion.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Decentralized and Mutual Recognition Procedures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Medicines that fall outside the mandatory scope of the centralized procedure can be authorized under a decentralized procedure where an applicant applies for simultaneous authorization in more than one EU member state, or they can be authorized in an EU member state in accordance with that state’s national procedures and then be authorized in other EU countries by a procedure whereby the countries concerned agree to recognize the validity of the original, national marketing authorization (mutual recognition procedure).</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The competent authority of a single EU member state, the reference member state, is appointed to review the application and provide an assessment report. The competent authorities of the other EU member states, the concerned member states, are subsequently required to grant a marketing authorization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Management Plan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RMPs and Periodic Safety Update Reports (“PSURs”) are routinely available to third parties requesting access, subject to limited redactions.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 Validity Period</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the EU, an MA has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Exceptional Circumstances/Conditional Approval</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Similar to accelerated approval regulations in the United States, conditional MAs can be granted in the EU for medicines intended for treating, preventing or diagnosing seriously debilitating or life-threatening diseases, or in a public health emergency. A conditional MA can be granted for medicinal products where, although comprehensive clinical data referring to the safety and efficacy of the medicinal product have not been supplied, the following criteria are fulfilled: (i) the benefit/risk balance of the product is positive, (ii) it is likely that the applicant will be in a position to provide the comprehensive clinical data post-authorization,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must be renewed annually, but can be converted into a standard MA once the MA holder fulfils the obligations imposed and the complete data confirm that the medicine’s benefits continue to outweigh its risks.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an MA or placing the product on the market. Innovative medicinal products (sometimes referred to as new chemical entities) approved in the EU generally qualify for eight years of data exclusivity and 10 years of marketing exclusivity.</w:t>
      </w:r>
    </w:p>
    <w:p>
      <w:pPr>
        <w:spacing w:after="0" w:line="16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granted, the data exclusivity period begins on the date of the product’s first MA in the EU and prevents generic or biosimilar applicants from referencing the innovator’s preclinical and clinical trial data contained in the dossier of the reference product when applying for a generic or biosimilar marketing authorization in the EU. After eight years, a generic product application may be submitted and generic companies may rely on the MA holder’s data. However, a generic product cannot launch until two years later (or a total of 10 years after the first MA in the EU of the innovator product). An additional one-year period of marketing exclusivity is possible if, during the data exclusivity period (the first eight years of the 10-year marketing exclusivity period), the MA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holder obtains an authorization for one or more new therapeutic indications that are deemed to bring a significant clinical benefit compared to existing therapies. Additionally, a standalone one-year period of data exclusivity can be granted where an application is made for a new indication for a well-established substance, provided that significant pre-clinical or clinical studies were carried out in relation to the new indication. Where a change of classification of a pharmaceutical product has been authorized on the basis of significant pre-trial tests or clinical trials, when examining an application by another applicant for or holder of an MA for a change of classification of the same substance the competent authority will not refer to the results of those tests or trials for one year after the initial change was authorized.</w:t>
      </w:r>
    </w:p>
    <w:p>
      <w:pPr>
        <w:spacing w:after="0" w:line="187"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Products may not be granted data exclusivity since there is no guarantee that a product will be considered by the European Union’s regulatory authorities to include a new Chemical Entities, or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an orphan product if its sponsor can establish that (1) it is intended for the diagnosis, prevention or treatment of a life- 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10 years of market exclusivity for the approved therapeutic indication. An application for orphan drug designation (which is not a marketing authorization, as not all orphan-designated medicines reach the authorization application stage) must be submitted first before an MAA of the medicinal product is submitted. The applicant will receive a fee reduction for the MAA if the orphan drug designation has been granted, but not if the designation is still pending at the time the MAA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EMA’s Committee for Orphan Medicinal Products (“COMP”)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extension to any supplementary protection certificate can be granted on the basis of pediatric studies for orphan indications.</w:t>
      </w:r>
    </w:p>
    <w:p>
      <w:pPr>
        <w:spacing w:after="0" w:line="225"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During the period of market exclusivity, an MA may only be granted to a “similar medicinal product” for the same therapeutic indication if: (i) a second applicant can establish that its product, although similar to the authorized product, is safer, more effective or otherwise clinically superior; (ii) the MA holder for the authorized product consents to a second orphan medicinal product application; or (iii) the MA holder for the authorized product cannot supply enough orphan medicinal product.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EU, companies developing a new medicinal product are obligated to study their product in children and must therefore submit a PIP together with a request for agreement to the EMA, unless the EMA has granted a product-specific waiver, a class waiver, or a deferral for one or more of the measures included in the PIP.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such a waiver or a deferral has been granted. Medicinal products that are granted an MA on the basis of the pediatric clinical trials conducted in accordance with the approved PIP are eligible for a six month extension of the protection under a supplementary protection certificate (“SPC”), provided an application for such extension is made at the same time as filing the SPC application for the product, or at any point up to two years before the SPC expires,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an MA holder wants to add a new indication, medicinal form or route of administration for a medicine that is already authorized and covered by intellectual property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PRIME Designation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marketing authorization application assessment once a dossier has been submitted. Importantly, once a candidate medicine has been selected for the PRIME scheme, a dedicated contact point and rapporteur from the CHMP or from the Committee for Advanced Therapies, or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holder of an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EMA can advise that the MA holder be obliged to conduct post-authorization Phase IV safety studies. If the EC agrees with the opinion, it can adopt a decision varying the existing MA. Failure by the MA holder to fulfill the obligations for which the EC’s decision provides can undermine the ongoing validity of the MA.</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More generally, non-compliance with pharmacovigilance obligations can lead to the variation, suspension or withdrawal of the MA for the product or imposition of financial penalties or other enforcement measures.</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GMP standards when manufacturing pharmaceutical products and active pharmaceutical ingredients, including the manufacture of active pharmaceutical ingredients outside of the EU with the intention to import the active pharmaceutical ingredients into the European Union.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Regulations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advertising and promotion of Dianthus’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national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which is prohibited in the EU. Direct-to-consumer advertising of prescription-only medicines is also prohibited in the EU. Violations of the rules governing the promotion of medicinal products in the EU could be penalized by administrative measures, fines and imprisonment.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Anti-Corruption Legislation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the EU member states. Violation of these laws could result in substantial fines and imprisonment. 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Markets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UK formally left the EU on January 31, 2020 and the transition period, during which EU laws continued to apply to the UK, expired on December 31, 2020. This means EU laws now only apply to the UK in respect of Northern Ireland as laid out in the Northern Ireland Protocol. Following the end of the transition period, the EU and the UK concluded a trade and cooperation agreement (“TCA”), which applied provisionally from January 1, 2021 and entered into force on May 1, 2021.</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Except in respect of the new CTR,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framework which will be put in place by the Medicines and Healthcare products Regulatory Agency (“MHRA”), from January 1, 2024, the MHRA has stated that it will take into account decisions on the approval of marketing authorizations from the EMA (and certain other regulators) when considering an application for a Great Britain marketing authorization.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82"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w:t>
      </w:r>
    </w:p>
    <w:p>
      <w:pPr>
        <w:spacing w:after="0" w:line="18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Dianthus fails to comply with applicable foreign regulatory requirements, it may be subject to, among other things, fines, suspension of clinical trials, suspension or withdrawal of regulatory approvals, product recalls, seizure of products, operating restrictions and criminal prosecution.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of November 27, 2023, we had 51 employees, all of whom were employed full time and 35 of whom were engaged in research and development activities. 12 of our employees hold Ph.D. or M.D. degrees. None of our employees are represented by a labor union or covered under a collective bargaining agreement. We consider our relationship with our employees to be good.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currently a remote-based company and a majority of our employees work remotely. We currently lease space for administrative offices in Waltham, Massachusetts and New York, New York and wet laboratory space in Watertown, Massachusetts. Our space in Waltham is approximately 2,750 square feet under a lease that expires in January 2025, our space in New York is approximately 3,367 square feet under a lease that expires in August 2025 and our space in Watertown varies monthly based on our needs but does not exceed 1,000 square feet under a lease that expires in January 2025. Our New York office is our corporate headquarters. As the company expands, we believe suitable additional or substitute space will be available as and when needed.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Merger Agreement, immediately after the closing of the Merger on September 11, 2023, the size of our Board of Directors was fixed at eight members, consisting of two members designated by the Company, who are Alison F. Lawton and Anne McGeorge, and six members designated by OpCo, who are Marino Garcia, Leon O. Moulder, Jr., Tomas Kiselak, Lei Meng, Paula Soteropoulos and Jonathan Violin, Ph.D. Marino Garcia and Paula Soteropoulos were appointed as Class I directors of the Board of Directors, Tomas Kiselak and Jonathan Violin, Ph.D., were appointed as Class II directors of the Board of Directors and Leon O. Moulder, Jr. and Lei Meng were appointed as Class III directors of the Board of Directors. Anne McGeorge and Alison F. Lawton continued as Class II and Class III directors of the Board of Directors, respectively. The terms of the Class I directors expire at the Company’s 2025 annual meeting, the terms of the Class II directors expire at the Company’s 2026 annual meeting and the terms of the Class III directors expire at the Company’s 2024 annual meeting.</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Other than pursuant to the Merger Agreement, there were no arrangements or understandings between our newly appointed directors and any person pursuant to which they were elected. Other than as described herein, none of the our newly appointed directors have a direct or indirect material interest in any transaction required to be disclosed pursuant to Item 404(a) of Regulation S-K. There are no family relationships among any of our directors.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September 11, 2023, the Board of Directors appointed Marino Garcia as our President and Chief Executive Officer and principal executive officer, Ryan Savitz as our Treasurer and Chief Financial Officer and principal financial officer and Edward Carr as our Chief Accounting Officer and principal accounting officer. Each executive officer will serve at the discretion of the Board of Directors and hold office until his or her successor is duly elected and qualified or until his or her earlier resignation or removal.</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newly appointed principal officers. None of our newly appointed principal officers have a direct or indirect material interest in any transaction required to be disclosed pursuant to Item 404(a) of Regulation S-K.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current directors and executive officers as of December 11,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71"/>
        </w:trPr>
        <w:tc>
          <w:tcPr>
            <w:tcW w:w="36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b w:val="1"/>
                <w:bCs w:val="1"/>
                <w:color w:val="auto"/>
              </w:rPr>
              <w:t>:</w:t>
            </w: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Marino Garcia</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56</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Savitz</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35</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Simrat Randhawa, M.D.</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54</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Veness</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38</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Senior Vice President, General Counsel and Secretary</w:t>
            </w: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Carr</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54</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b w:val="1"/>
                <w:bCs w:val="1"/>
                <w:color w:val="auto"/>
              </w:rPr>
              <w:t>:</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 O. Moulder, Jr.</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66</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 and Chair of the Board of Directors</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Tomas Kiselak</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37</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 Meng</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51</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Paula Soteropoulos</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56</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Violin, Ph.D.</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48</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Alison F. Lawton</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62</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McGeorge</w:t>
            </w:r>
          </w:p>
        </w:tc>
        <w:tc>
          <w:tcPr>
            <w:tcW w:w="226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63</w:t>
            </w: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Marino Garcia. </w:t>
      </w:r>
      <w:r>
        <w:rPr>
          <w:rFonts w:ascii="Times New Roman" w:cs="Times New Roman" w:eastAsia="Times New Roman" w:hAnsi="Times New Roman"/>
          <w:sz w:val="18"/>
          <w:szCs w:val="18"/>
          <w:color w:val="auto"/>
        </w:rPr>
        <w:t>Mr. Garcia has served as President and Chief Executive Officer of OpCo and as a member of its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2021. Prior to joining OpCo, Mr. Garcia served as Senior Vice President, Corporate and Business Development at Zealand Pharma from October 2018 to October 2021. Mr. Garcia previously served as Executive Vice President, Chief Strategy Officer at Synergy Pharmaceuticals from March 2016 to September 2018 and was the Senior Vice President for Corporate Development for the two preceding years. Prior to Synergy, Mr. Garcia served as Vice President, US Commercial Operations and Global New Product Development at Aspreva, a company collaborating with Roche to develop CellCept (myocophenolate mofetil) for a range of autoimmune diseases, including Lupus Nephritis, Myasthenia Gravis, and Pemphigus Vulgaris. Prior to joining Aspreva, Mr. Garcia served in various roles at large multinational biopharmaceutical companies, including Merck Pharmaceuticals, Pfizer Pharmaceuticals and Eli Lilly and Co. Mr. Garcia received his M.B.A. from the Ivey Business School at Western University in London, Ontario and his Bachelor of Commerce from Concordia University in Montreal, Quebec. We believe that Mr. Garcia is qualified to serve on the Board of Directors because of his significant operational and senior management experience in the biopharmaceutical industry.</w:t>
      </w:r>
    </w:p>
    <w:p>
      <w:pPr>
        <w:spacing w:after="0" w:line="185"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Ryan Savitz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Savitz has served as Chief Financial Officer of OpCo since June 2022. He most recently served as Managing Director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Citigroup’s Healthcare Investment Banking division where he was employed from June 2010 to June 2022 and focused on advising biopharma companies on private and public capital raising, partnering, and mergers and acquisitions. Prior to becoming Managing Director, he held positions of increasing responsibility, all within the Healthcare Investment Banking division at Citigroup. Mr. Savitz received his Bachelor of Science in Finance from the Pennsylvania State University.</w:t>
      </w:r>
    </w:p>
    <w:p>
      <w:pPr>
        <w:spacing w:after="0" w:line="17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Simrat Randhawa, M.D. </w:t>
      </w:r>
      <w:r>
        <w:rPr>
          <w:rFonts w:ascii="Times New Roman" w:cs="Times New Roman" w:eastAsia="Times New Roman" w:hAnsi="Times New Roman"/>
          <w:sz w:val="18"/>
          <w:szCs w:val="18"/>
          <w:color w:val="auto"/>
        </w:rPr>
        <w:t>Dr. Randhawa has served as Chief Medical Officer of Dianthus since April 2022. Dr. Randhawa most recently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of Clinical and Medical Affairs at Aurinia Pharmaceuticals from February 2017 to April 2022, an autoimmune-focused company, where he supported the clinical development of voclosporin. Dr. Randhawa has held a number of senior commercial and medical leadership roles in the autoimmune and rare disease spaces within large pharma and biotech companies such as Novartis and Biomarin. Previously, he supported business development opportunities and integration needs in the health care sector while at McKinsey Consulting. Dr. Randhawa completed his M.D. at Drexel University and received his M.B.A. from Columbia University.</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Veness, Esq. </w:t>
      </w:r>
      <w:r>
        <w:rPr>
          <w:rFonts w:ascii="Times New Roman" w:cs="Times New Roman" w:eastAsia="Times New Roman" w:hAnsi="Times New Roman"/>
          <w:sz w:val="18"/>
          <w:szCs w:val="18"/>
          <w:color w:val="auto"/>
        </w:rPr>
        <w:t>Mr. Veness has served as Senior Vice President, General Counsel and Secretary of Dianthus since June 2023. Mr. Veness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Dianthus most recently from Cyteir Therapeutics, Inc., (Nasdaq: CYT), a clinical-stage oncology company, where he served as General Counsel and Secretary from April 2022 until June 2023. Prior to Cyteir, Mr. Veness served as General Counsel and Secretary at Acceleron Pharma Inc., a biopharmaceutical company, from 2019 until Acceleron’s acquisition by Merck &amp; CO. in November 2021. Mr. Veness served in various roles at Acceleron from July 2014 until his appointment as General Counsel in 2019. During his tenure at Acceleron, Mr. Veness gained experience in roles of increasing responsibility where he served on the Executive Committee responsible for company strategy, and he led the global legal and compliance functions, including capital markets and SEC reporting obligations, corporate governance, contracts, intellectual property, employment matters, and data privacy. Prior to Acceleron, Mr. Veness was a corporate and securities attorney at the law firm Mintz Levin where he represented and counseled public and private companies in the biopharmaceutical, technology, and healthcare industries. Mr. Veness earned a B.A. in political science and philosophy from Tulane University, and a J.D. from Boston University School of Law.</w:t>
      </w:r>
    </w:p>
    <w:p>
      <w:pPr>
        <w:spacing w:after="0" w:line="185"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Edward Carr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Carr has served as Chief Accounting Officer of OpCo since April 2022. Prior to Dianthus, Mr. Carr served as Chief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of Abeona Therapeutics, a publicly traded, clinical stage biotechnology company, from August 2021 to March 2022 and as its Chief Accounting Officer from November 2018 to August 2021. Prior to Abeona, Mr. Carr served as Assistant Controller at Coty Inc., a multi-billion dollar, publicly traded manufacturing company from October 2017 to November 2018 and as Chief Accounting Officer at Foster Wheeler AG, a multi-billion dollar, publicly traded engineering and construction company from April 2007 to March 2017. Mr. Carr, who is a Certified Public Accountant, began his career at Ernst &amp; Young LLP. He received his Master of Professional Accountancy and Bachelor of Business Administration from West Virginia University.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Leon O. Moulder, Jr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Moulder has served as a member of the board of directors of OpCo since July 2019. Mr. Moulder is the sole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Tellus BioVentures, a life science investment fund he founded in March 2019. Mr. Moulder also founded Zenas BioPharma, a biopharmaceutical company, in December 2019 and has served as Chairman of its board of directors since its inception and its Chief Executive Officer from its inception to April 2021 and from July 2023. From May 2010 to January 2019, Mr. Moulder was the co-founder, Chief Executive Officer and a member of the board of directors of TESARO, Inc., a public biopharmaceutical company that was acquired by GlaxoSmithKline plc. From April 2009 to January 2010, Mr. Moulder served as Vice Chairman of the board of directors, President and Chief Executive Officer of Abraxis BioScience, Inc., a biotechnology company. Before that, Mr. Moulder served as Vice Chairman of Eisai Corporation of North America, a pharmaceutical company and wholly owned subsidiary of Eisai Co., Ltd., from January 2008 until January 2009, following Eisai Co., Ltd.’s acquisition of MGI PHARMA, Inc., in January 2008. Mr. Moulder served as President and Chief Executive Officer and as a member of the board of directors of MGI PHARMA, Inc. from May 2003 to January 2008. Mr. Moulder serves as a board director for Zai Lab Ltd. (ZLAB), Trevena, Inc. (TRVN), Helsinn Group and several privately held Tellus BioVentures portfolio companies. Mr. Moulder earned a B.S. in pharmacy from Temple University and an M.B.A. from the University of Chicago. Mr. Moulder is a Trustee of Temple University and a council member for the University of Chicago Booth School of Business. We believe that Mr. Moulder is qualified to serve on the Board of Directors because of his significant operational and senior management experience in the biopharmaceutical industry, as well as his extensive experience as a director on public and private boards in the industry.</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Tellus BioVentures is a greater than 5% stockholder of the Company, and Mr. Moulder may be deemed to beneficially own the shares held by Tellus BioVentures. A summary of transactions between the Company and Tellus BioVentures is included under the section titled “</w:t>
      </w:r>
      <w:r>
        <w:rPr>
          <w:rFonts w:ascii="Times New Roman" w:cs="Times New Roman" w:eastAsia="Times New Roman" w:hAnsi="Times New Roman"/>
          <w:sz w:val="18"/>
          <w:szCs w:val="18"/>
          <w:i w:val="1"/>
          <w:iCs w:val="1"/>
          <w:color w:val="auto"/>
        </w:rPr>
        <w:t>Certain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Transactions—Dianthus and Former Dianthus Transactions</w:t>
      </w:r>
      <w:r>
        <w:rPr>
          <w:rFonts w:ascii="Times New Roman" w:cs="Times New Roman" w:eastAsia="Times New Roman" w:hAnsi="Times New Roman"/>
          <w:sz w:val="18"/>
          <w:szCs w:val="18"/>
          <w:color w:val="auto"/>
        </w:rPr>
        <w:t>” located elsewhere in this prospectus, and Tellus BioVentures is also party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Agreement.</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Tomas Kiselak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Kiselak has served as a member of the board of directors of OpCo since May 2021. Mr. Kiselak is a Managing Member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Fairmount Funds Management LLC, a healthcare investment firm he co-founded in April 2016. Prior to Fairmount, Mr. Kiselak was a managing director at RA Capital Management, LLC, a healthcare and life science investment firm. Mr. Kiselak has served as the Chairman of the board of Viridian Therapeutics, Inc. (“Viridian”) (Nasdaq: VRDN) since June 2021 and a member of the Viridian board of directors since October 2020, and is a director for Apogee Therapeutics (Nasdaq: APGE) since June 2023, Spyre Therapeutics (Nasdaq: SYRE) since June 2023, and several private companies.</w:t>
      </w:r>
    </w:p>
    <w:p>
      <w:pPr>
        <w:spacing w:after="0" w:line="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Kiselak also serves as a director for several private companies. He received a bachelor’s degree in Neuroscience and Economics from Amherst College. We believe that Mr. Kiselak is qualified to serve on the Board of Directors because of his experience advising biotechnology companies and as a manager of funds specializing in the area of life sciences.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Lei Meng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Meng has served as a member of the board of directors of OpCo since April 2022 and as Senior Therapeutics Analyst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investment team of Avidity Partners since January 2021. Prior to Avidity, Ms. Meng was the Vice President of Marketing Analytics and Business Development and Licensing Commercial Assessments at Allergan from March 2012 to February 2017. Prior to becoming Vice President, she held positions of increasing responsibility at Allergan. Prior to Allergan, Ms. Meng was a therapeutics analyst investing in public life science companies at Samlyn Capital. Prior to Samlyn, Ms. Meng had worked as a management consultant at McKinsey &amp; Co., serving life sciences clients, and as a researcher in Medicinal Chemistry and Clinical Research at Merck &amp; Co. Ms. Meng has been a Director of Prellis Biologics, an antibody discovery platform company, since August 2022. She received her M.B.A. from INSEAD, a Masters in Organic Chemistry from Harvard University and her Bachelors in Biochemistry from Barnard College. We believe that Ms. Meng is qualified to serve on the Board of Directors because of her extensive experience as an operator in the pharmaceutical and biotechnology industry and as an investor in life science companies.</w:t>
      </w:r>
    </w:p>
    <w:p>
      <w:pPr>
        <w:spacing w:after="0" w:line="188" w:lineRule="exact"/>
        <w:rPr>
          <w:sz w:val="20"/>
          <w:szCs w:val="20"/>
          <w:color w:val="auto"/>
        </w:rPr>
      </w:pPr>
    </w:p>
    <w:p>
      <w:pPr>
        <w:jc w:val="both"/>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Paula Soteropoulos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Soteropoulos has served as a member of the board of directors of OpCo since April 2022. Ms. Soteropoulos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the Chairman of the board of Ensoma, a private venture-backed company, where she began as founding Executive Chairman in March 2020. Since November 2020, she has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served on the board of directors of Rallybio Corporation (Nasdaq: RLYB). Since July 2013, she has served on the board of directors of uniQure. Since January 2023, she also has served as a Venture Partner to 5AM Ventures. From January 2015 through September 2019, she served as President and Chief Executive Officer of Akcea Therapeutics (Nasdaq: AKCA). From July 2013 to December 2014, she served as Senior Vice President and General Manager, Cardiometabolic Business and Strategic Alliances at Moderna Therapeutics Inc. Prior to this, Ms. Soteropoulos worked at Genzyme Corporation, a biotechnology company, from 1992 to 2013, most recently as Vice President and General Manager, Cardiovascular, Rare Diseases.</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Ms. Soteropoulos holds a Bachelor of Science degree in chemical engineering and a Master of Science degree in chemical and biochemical engineering, both from Tufts University, and holds an executive management certificate from the University of Virginia, Darden Graduate School of Business Administration. Ms. Soteropoulos serves on the Advisory Board for the Chemical and Biological Engineering Department of Tufts University. We believe that Ms. Soteropoulos is qualified to serve on the Board of Directors because of her experience advising biotechnology companies in the areas of drug development, global commercialization and manufacturing.</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Violin, Ph.D. </w:t>
      </w:r>
      <w:r>
        <w:rPr>
          <w:rFonts w:ascii="Times New Roman" w:cs="Times New Roman" w:eastAsia="Times New Roman" w:hAnsi="Times New Roman"/>
          <w:sz w:val="17"/>
          <w:szCs w:val="17"/>
          <w:color w:val="auto"/>
        </w:rPr>
        <w:t>Dr. Violin co-founded OpCo in July 2019 and has served on its board of directors since inception. Dr. Violin is currently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Venture Partner at Fairmount Funds Management LLC. Prior to joining Fairmount in June 2023, Dr. Violin served as President, Chief Executive Officer and member of the Board of Viridian Therapeutics, Inc. (Nasdaq: VRDN) from January 2021 to February 2023, and he previously served as President and Chief Operating Officer of Viridian from October 2020 until January 2021. He was the Co-Founder of Viridian’s predecessor and led its operations from April 2020 to its acquisition. Dr. Violin also co-founded Quellis Biosciences, Inc., a biotechnology company (acquired by Astria Therapeutics, Inc. (Nasdaq: ATXS), formerly Catabasis Pharmaceuticals, Inc.), in 2018 and since January 2021, has served on the Astria Therapeutics board of directors. Prior to that, he co-founded and helped lead Trevena Inc. (Nasdaq: TRVN), a biotechnology company, in various roles from 2008 until November 2018, including most recently as Senior Vice President, Scientific Affairs and Investor Relations Officer. Dr. Violin received a Ph.D. from the Department of Pharmacology in the Biomedical Sciences Program at the University of California, San Diego, a M.B.A. with a concentration in Health Sector Management from the Fuqua School of Business at Duke University, and a B.S. in Chemical Pharmacology from Duke University. We believe that</w:t>
      </w:r>
    </w:p>
    <w:p>
      <w:pPr>
        <w:spacing w:after="0" w:line="8"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color w:val="auto"/>
        </w:rPr>
        <w:t>Dr. Violin is qualified to serve on the Board of Directors because of his extensive experience and innovations in the field of biotechnology and his academic expertise and accomplishments.</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Alison F. Lawton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Lawton has served as a member of the Board of Directors since December 2020 and the Chair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2021 through the completion of the Merger. Ms. Lawton is an executive leader with more than 30 years of experience in biopharma. She served as President and Chief Executive Officer of Kaleido Biosciences, Inc. from August 2018 to June 2020, and served as President and Chief Operating Officer from December 2017 to August 2018. Prior to joining Kaleido Biosciences, Inc., Ms. Lawton served as Chief Operating Officer at Aura Biosciences, Inc., an oncology therapeutics company, from January 2015 until December 2017, and, prior to joining Aura, served as a consultant to Aura from March 2014 to December 2014. From January 2013 to January 2014, Ms. Lawton served as Chief Operating Officer at OvaScience Inc., a life sciences company. From 2014 to 2017, Ms. Lawton served as a biotech consultant for various companies, including as Chief Operating Officer consultant at X4 Pharmaceuticals. Prior to that, Ms. Lawton spent more than 20 years in various positions of increasing responsibility including Senior Vice President and General Manager of Biosurgery and prior, Senior Vice President of Market Access at Genzyme Corporation, a global biopharmaceutical company, and subsequently at Sanofi S.A., also a global biopharmaceutical company, following the acquisition of Genzyme by Sanofi in 2011. Additionally, Ms. Lawton previously served two terms as the industry representative on the U.S. Food &amp; Drug Administration’s Cell &amp; Gene Therapy Advisory Committee and as Chairman of the Board of the Regulatory Affairs Professional Society. Ms. Lawton currently serves on the board of directors of ProQR Therapeutics N.V., X4 Pharmaceuticals Inc. and Aeglea Biotherapeutics Inc. and the private companies SwanBio Therapeutics, Inc., BlueRock Therapeutics LP and AgBiome, LLC. Ms. Lawton previously served on the boards of directors of Kaleido Biosciences Inc. from August 2018 to October 2020, Verastem, Inc. from November 2012 to May 2020, CoLucid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Pharmaceuticals, Inc. from March 2016 until its acquisition by Eli Lilly in March 2017, and Cubist Pharmaceuticals, Inc. from February 2012 to December 2014 prior to its acquisition by Merck &amp; Co. in January 2015. Ms. Lawton holds a B.Sc. in pharmacology from Kings College, University of London. We believe that Ms. Lawton is qualified to serve on the Board of Directors based on her roles on public and private boards of directors as well as her extensive experience in the life sciences industry.</w:t>
      </w:r>
    </w:p>
    <w:p>
      <w:pPr>
        <w:spacing w:after="0" w:line="176" w:lineRule="exact"/>
        <w:rPr>
          <w:sz w:val="20"/>
          <w:szCs w:val="20"/>
          <w:color w:val="auto"/>
        </w:rPr>
      </w:pPr>
    </w:p>
    <w:p>
      <w:pPr>
        <w:jc w:val="both"/>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Anne McGeorge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McGeorge has been a member of the Board of Directors since June 2019. Ms. McGeorge has over 35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strategic guidance and operational oversight to health care organizations. Ms. McGeorge has been on the adjunct faculty at the University of North Carolina at Chapel Hill since August 2005. Ms. McGeorge currently serves on the board of directors of The Oncology Institute, Inc.</w:t>
      </w:r>
    </w:p>
    <w:p>
      <w:pPr>
        <w:ind w:left="120"/>
        <w:spacing w:after="0" w:line="251" w:lineRule="auto"/>
        <w:rPr>
          <w:sz w:val="20"/>
          <w:szCs w:val="20"/>
          <w:color w:val="auto"/>
        </w:rPr>
      </w:pPr>
      <w:r>
        <w:rPr>
          <w:rFonts w:ascii="Times New Roman" w:cs="Times New Roman" w:eastAsia="Times New Roman" w:hAnsi="Times New Roman"/>
          <w:sz w:val="18"/>
          <w:szCs w:val="18"/>
          <w:color w:val="auto"/>
        </w:rPr>
        <w:t>(Nasdaq:TOI). She also serves on the board of directors of the private companies CitiusTech, a health care technology company, Nimbus Therapeutics, LLC, a biotech company, CLEAR Insurance, a Cayman based captive insurance company, and the National Marrow Donor Program (Be The Match), a 501(c)(3) organization, and is on the advisory board at FCA Healthcare Innovations (formerly Dioko Ventures). Additionally, Ms. McGeorge previously served on the board of directors of SOC Telemed, Inc. (Nasdaq: TOI) from October 2020 until it was acquired by Patient Square Capital, Inc. in April 2022. Prior to her retirement in July 2017, Ms. McGeorge worked at Grant Thornton LLP where she routinely advised clients on audit and financial matters relating to the healthcare industry. During her time at Grant Thornton LLP, Ms. McGeorge was Managing Partner of Grant Thornton LLP’s Health Care Industry Practice from January 2006 to July 2017 as well as Global Managing Partner for Grant Thornton International’s Health Care Industry Practice from August 2015 to July 2017. Ms. McGeorge was formerly a Partner at Deloitte &amp; Touche LLP from 2002 to 2005 and at Arthur Andersen LLP from 1997 to 2002. Ms. McGeorge received a B.B.A., Business, Accounting from the College of William and Mary, and an M.S., Accounting/Taxation from the University of Virginia. We believe that Ms. McGeorge is qualified to serve on the Board of Directors based on her extensive experience providing auditing and financial services for the healthcare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divided into three staggered classes, with one class to be elected at each annual meeting to serve for a three-year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following the completion of the Merger, the Board of Directors established an audit committee (the “Audit Committee”), a compensation committee (the “Compensation Committee”), a nominating and corporate governance committee (the “Nominating and Corporate Governance Committee”) and science and technology committee (the “Science and Technology Committee”), each of which operates pursuant to a charter adopted by the Board of Directors. We believe the functioning and composition of these committees comply with the requirements of the Sarbanes-Oxley Act of 2002, Nasdaq listing rules and SEC rules and regulations. The Board of Directors may also establish other committees from time to time to assist the Company and its Board of Directors. Each of the Audit Committee, Compensation Committee, Nominating and Corporate Governance Committee and Science and Technology Committee has the responsibilities described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the Merger, Anne McGeorge, Leon O. Moulder, Jr. and Paula Soteropoulos were appointed to the Audit Committee, each of whom qualifies or qualified as an independent director for audit committee purposes, as defined under the rules of the SEC and the applicable Nasdaq listing rules and has sufficient knowledge in financial and auditing matters to serve on the Audit Committee. Anne McGeorge was appointed as chair of the Audit Committee. Anne McGeorge is an “audit committee financial expert” as defined in Item 407(d)(5)(ii) of Regulation S-K promulgated under the Securities Act.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82"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5, 2023, Alison F. Lawton was appointed to the Audit Committee in place of Mr. Moulder. Ms. Lawton qualifies as an independent director for audit committee purposes, as defined under the rules of the SEC and the applicable Nasdaq listing rules and has sufficient knowledge in financial and auditing matters to serve on the Audit Committee.</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primary responsibilities of the Audit Committee are to oversee the Company’s accounting and financial reporting processes, including the audits of the financial statements, and the internal and external audit processes. The Audit Committee also oversees the system of internal controls established by management and our compliance with legal and regulatory requirements. The Audit Committee is also responsible for the review, consideration and approval or ratification of related party transactions. The Audit Committee oversees the independent auditors, including their independence and objectivity. The Audit Committee is empowered to retain outside legal counsel and other advisors as it deems necessary or appropriate to assist it in fulfilling its responsibilities and to approve the fees and other retention terms of the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Immediately following the completion of the Merger, Paula Soteropoulos, Leon O. Moulder, Jr. and Tomas Kiselak were appointed to the Compensation Committee, each of whom qualifies as an independent director, as defined under applicable Nasdaq listing rules and also meets the additional, heightened independence criteria applicable to members of the compensation committee. Paula Soteropoulos was appointed as the chair of the Compensation Committee.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primary responsibilities of the Compensation Committee are to periodically review and approve the compensation and other benefits for the Company’s senior officers and directors. This includes reviewing and approving corporate goals and objectives relevant to the compensation of the Company’s executive officers, evaluating the performance of these officers in light of the goals and objectives and setting the officers’ compensation. The Compensation Committee also administers and makes recommendations to the Board of Directors regarding equity incentive plans that are subject to the Board of Directors’ approval and approves the grant of equity awards under the plans.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completion of the Merger, Alison F. Lawton, Lei Meng and Leon O. Moulder, Jr. were appointed to the Nominating and Corporate Governance Committee, each of whom qualifies as an independent director, as defined under applicable Nasdaq listing rules. Alison F. Lawton was appointed as chair of the Nominating and Corporate Governance Committee.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engaging in succession planning for the Board of Directors, developing and recommending to the Board of Directors criteria for identifying and evaluating qualified director candidates and making recommendations to the Board of Directors regarding candidates for election or reelection to the Board of Directors at each annual stockholders’ meeting. In addition, the Nominating and Corporate Governance Committee is responsible for overseeing the Company’s corporate governance practices and making recommendations to the Board of Directors concerning corporate governance matters. The Nominating and Corporate Governance Committee is also responsible for making recommendations to the Board of Directors concerning the structure, composition and functioning of the Board of Directors and its committees.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completion of the merger, Tomas Kiselak, Lei Meng and Jonathan Violin were appointed to the Science and Technology Committee. Tomas Kiselak was appointed as chair of the Science and Technology Committee. The primary responsibilities of the Science and Technology Committee are to assist the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82"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in overseeing the Company’s innovation, new product development and research and development activities.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None of the members of the Compensation Committee has at any time been one of the officers or employees of the Company since its inception. None of the Company’s executive officers currently serves, or in the past fiscal year has served, as a member of the board of directors or compensation committee of any entity that has one or more executive officers that is on the Company’s Board of Directors or Compensation Committee.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Board of Directors adopted a new Code of Conduct and Ethics (the “Code of Conduct”). The Code of Conduct superseded the Company’s existing code of business conduct and ethics previously adopted by the Board of Directors (the “Pre-Merger Code”). The Code of Conduct applies to all directors, officers and employees of the Company.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Code of Conduct addresses, among other matters, compliance with laws and policies, conflicts of interest, corporate opportunities, regulatory reporting, external communications, confidentiality requirements, insider trading, proper use of assets and how to report compliance concerns. The provisions of the Code of Conduct are intended to reflect current best practices and enhance the Company’s personnel’s understanding of the Company’s standards of ethical business practices, promote awareness of ethical issues that may be encountered in carrying out an employee’s or director’s responsibilities and improve clarity as to how to address ethical issues that may arise.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full text of the Code of Conduct is posted on the Company’s website at www.dianthustx.com. We intend to disclose any amendments to the Code of Conduct, or any waivers of its requirements, on our website to the extent required by applicable rules. Our Audit Committee is responsible for applying and interpreting the Code of Conduct in situations where questions are presented to it. Information contained on, or that can be accessed through, the Company’s website is not incorporated by reference into this prospectus and should not be considered to be a part hereof for any purpose.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newly adopted Code of Conduct did not result in any explicit or implicit waiver of any provision of the Pre-Merger Code.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reviews the independence of all directors in light of each director’s (or any family member’s, if applicable) affiliations with the Company and members of management, as well as significant holdings of our securities. The Board of Directors uses the definition of independence from Nasdaq listing rules to assess independence of our directors. 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The Board of Directors has not established categorical standards or guidelines to make these subjective determinations, but considers all relevant facts and circumstances. After considering the foregoing factors, the Board of Directors has determined each of our directors other than Marino Garcia and Jonathan Violin meets the Nasdaq independence requirements.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sections below generally relates to compensation for the fiscal year ended December 31, 2022 and was included in Amendment No. 1 to the Company’s Annual Report on Form 10-K filed with the SEC on May 1, 2023. Such information has not been adjusted to reflect the effects of the Reverse Stock Split. As a result of the Merger, there have been several changes to the executive officers, including the following, each effective September 11, 2023:</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Mahoney’s termination as President, Chief Financial and Operating Officer and Treasurer;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Marino Garcia’s appointment as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Savitz’s appointment as Treasurer and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Simrat Randhawa’s appointment as Chief Medical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Veness’ appointment as Senior Vice President, General Counsel and Secretary;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Carr’s appointment as Chief Accounting Officer.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named executive officers for the year ended December 31, 2022 are as follows: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Gardner, D.Phil., the Company’s former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Mahoney, the Company’s former President, Chief Financial and Operating Officer and Treasurer;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Humphrey, M.D., the Company’s former Chief Medical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Olson, Ph.D., the Company’s former Chief Scientific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Summary Compensation Table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the Company’s named executive officers for the years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4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5"/>
                <w:szCs w:val="15"/>
                <w:color w:val="auto"/>
              </w:rPr>
            </w:pPr>
          </w:p>
        </w:tc>
        <w:tc>
          <w:tcPr>
            <w:tcW w:w="88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Jason Gardner, D.Phil.</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565,000</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756,413</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326,288</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7,147</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1,654,848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i w:val="1"/>
                <w:iCs w:val="1"/>
                <w:color w:val="auto"/>
              </w:rPr>
              <w:t>Former President and Chief Executive Officer</w:t>
            </w:r>
            <w:r>
              <w:rPr>
                <w:rFonts w:ascii="Times New Roman" w:cs="Times New Roman" w:eastAsia="Times New Roman" w:hAnsi="Times New Roman"/>
                <w:sz w:val="25"/>
                <w:szCs w:val="25"/>
                <w:i w:val="1"/>
                <w:iCs w:val="1"/>
                <w:color w:val="auto"/>
                <w:vertAlign w:val="superscript"/>
              </w:rPr>
              <w:t>(4)</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545,000</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1,377,655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34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5,447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2,228,102</w:t>
            </w:r>
          </w:p>
        </w:tc>
        <w:tc>
          <w:tcPr>
            <w:tcW w:w="0" w:type="dxa"/>
            <w:vAlign w:val="bottom"/>
          </w:tcPr>
          <w:p>
            <w:pPr>
              <w:spacing w:after="0"/>
              <w:rPr>
                <w:sz w:val="1"/>
                <w:szCs w:val="1"/>
                <w:color w:val="auto"/>
              </w:rPr>
            </w:pPr>
          </w:p>
        </w:tc>
      </w:tr>
      <w:tr>
        <w:trPr>
          <w:trHeight w:val="30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Mahoney</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448,000</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483,680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188,160</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1,047</w:t>
            </w:r>
            <w:r>
              <w:rPr>
                <w:rFonts w:ascii="Times New Roman" w:cs="Times New Roman" w:eastAsia="Times New Roman" w:hAnsi="Times New Roman"/>
                <w:sz w:val="26"/>
                <w:szCs w:val="26"/>
                <w:color w:val="auto"/>
                <w:vertAlign w:val="superscript"/>
              </w:rPr>
              <w:t>(3)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1,120,887</w:t>
            </w:r>
          </w:p>
        </w:tc>
        <w:tc>
          <w:tcPr>
            <w:tcW w:w="0" w:type="dxa"/>
            <w:vAlign w:val="bottom"/>
          </w:tcPr>
          <w:p>
            <w:pPr>
              <w:spacing w:after="0"/>
              <w:rPr>
                <w:sz w:val="1"/>
                <w:szCs w:val="1"/>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Chief Financial and Operating</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Officer and Treasurer</w:t>
            </w:r>
            <w:r>
              <w:rPr>
                <w:rFonts w:ascii="Times New Roman" w:cs="Times New Roman" w:eastAsia="Times New Roman" w:hAnsi="Times New Roman"/>
                <w:sz w:val="26"/>
                <w:szCs w:val="26"/>
                <w:i w:val="1"/>
                <w:iCs w:val="1"/>
                <w:color w:val="auto"/>
                <w:vertAlign w:val="superscript"/>
              </w:rPr>
              <w:t>(5)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Humphrey, M.D.</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305,625</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290,376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494,779</w:t>
            </w:r>
            <w:r>
              <w:rPr>
                <w:rFonts w:ascii="Times New Roman" w:cs="Times New Roman" w:eastAsia="Times New Roman" w:hAnsi="Times New Roman"/>
                <w:sz w:val="25"/>
                <w:szCs w:val="25"/>
                <w:color w:val="auto"/>
                <w:vertAlign w:val="superscript"/>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1,090,780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i w:val="1"/>
                <w:iCs w:val="1"/>
                <w:color w:val="auto"/>
              </w:rPr>
              <w:t>Former Chief Medical Officer</w:t>
            </w:r>
            <w:r>
              <w:rPr>
                <w:rFonts w:ascii="Times New Roman" w:cs="Times New Roman" w:eastAsia="Times New Roman" w:hAnsi="Times New Roman"/>
                <w:sz w:val="25"/>
                <w:szCs w:val="25"/>
                <w:i w:val="1"/>
                <w:iCs w:val="1"/>
                <w:color w:val="auto"/>
                <w:vertAlign w:val="superscript"/>
              </w:rPr>
              <w:t>(6)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Olson, Ph.D.</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428,000</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373,625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179,760</w:t>
            </w:r>
          </w:p>
        </w:tc>
        <w:tc>
          <w:tcPr>
            <w:tcW w:w="134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2,119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983,504</w:t>
            </w:r>
          </w:p>
        </w:tc>
        <w:tc>
          <w:tcPr>
            <w:tcW w:w="0" w:type="dxa"/>
            <w:vAlign w:val="bottom"/>
          </w:tcPr>
          <w:p>
            <w:pPr>
              <w:spacing w:after="0"/>
              <w:rPr>
                <w:sz w:val="1"/>
                <w:szCs w:val="1"/>
                <w:color w:val="auto"/>
              </w:rPr>
            </w:pPr>
          </w:p>
        </w:tc>
      </w:tr>
      <w:tr>
        <w:trPr>
          <w:trHeight w:val="362"/>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Scientific Officer</w:t>
            </w:r>
            <w:r>
              <w:rPr>
                <w:rFonts w:ascii="Times New Roman" w:cs="Times New Roman" w:eastAsia="Times New Roman" w:hAnsi="Times New Roman"/>
                <w:sz w:val="26"/>
                <w:szCs w:val="26"/>
                <w:i w:val="1"/>
                <w:iCs w:val="1"/>
                <w:color w:val="auto"/>
                <w:vertAlign w:val="superscript"/>
              </w:rPr>
              <w:t>(6)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right="64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option awards granted to the named executive officer in the year indicated under the Company’s 2018 Stock Option and Incentive Plan (the “2018 Plan”)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calculated in accordance with the provisions of Financial Accounting Standards Board Accounting Standards Codification Topic 718, Compensation—Stock Compensation (“FASB ASC Topic 718”). See Note 7 to Magenta’s financial statements included in Magenta’s Form 10-K for the year ended December 31, 2022 regarding assumptions used in determining the fair value of option awards. Note that the amounts reported in this column reflect the accounting cost for these stock options and do not correspond to the actual economic value that may be received by the named executive officer upon vesting or exercise of the options.</w:t>
      </w:r>
    </w:p>
    <w:p>
      <w:pPr>
        <w:spacing w:after="0" w:line="3" w:lineRule="exact"/>
        <w:rPr>
          <w:sz w:val="20"/>
          <w:szCs w:val="20"/>
          <w:color w:val="auto"/>
        </w:rPr>
      </w:pPr>
    </w:p>
    <w:p>
      <w:pPr>
        <w:ind w:left="540" w:right="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annual incentives paid in 2023 and 2022 based upon the achievement of Company’s corporate objectives for 2022 and 2021, respectively, as discussed under “—</w:t>
      </w:r>
      <w:r>
        <w:rPr>
          <w:rFonts w:ascii="Times New Roman" w:cs="Times New Roman" w:eastAsia="Times New Roman" w:hAnsi="Times New Roman"/>
          <w:sz w:val="18"/>
          <w:szCs w:val="18"/>
          <w:i w:val="1"/>
          <w:iCs w:val="1"/>
          <w:color w:val="auto"/>
        </w:rPr>
        <w:t>Narrative to Summary Compensation Table—Cash annual incentive</w:t>
      </w:r>
      <w:r>
        <w:rPr>
          <w:rFonts w:ascii="Times New Roman" w:cs="Times New Roman" w:eastAsia="Times New Roman" w:hAnsi="Times New Roman"/>
          <w:sz w:val="18"/>
          <w:szCs w:val="18"/>
          <w:color w:val="auto"/>
        </w:rPr>
        <w:t>.”</w:t>
      </w:r>
    </w:p>
    <w:p>
      <w:pPr>
        <w:ind w:left="540" w:right="18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(i) 401(k) company matching contributions, (ii) parking for Company’s Cambridge office and (iii) long term disability premiums.</w:t>
      </w:r>
    </w:p>
    <w:p>
      <w:pPr>
        <w:ind w:left="540" w:right="100" w:hanging="424"/>
        <w:spacing w:after="0" w:line="265"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Gardner also served as a member of the Company’s board of directors but did not receive any additional compensation for his service as a director. Dr. Gardner departed the Company and no longer serves as a member of Company’s board of directors, effective as of February 7, 2023.</w:t>
      </w:r>
    </w:p>
    <w:p>
      <w:pPr>
        <w:ind w:left="540" w:right="6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Mahoney was appointed President of the Company on February 6, 2023. In connection with the Merger, Mr. Mahoney’s employment with the Company terminated on September 11, 2023.</w:t>
      </w:r>
    </w:p>
    <w:p>
      <w:pPr>
        <w:ind w:left="540" w:right="2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Humphrey’s employment as Chief Medical Officer of the Company ended effective August 15, 2022, and Dr. Olson’s employment as Chief Scientific Officer ended May 15, 2023.</w:t>
      </w:r>
    </w:p>
    <w:p>
      <w:pPr>
        <w:ind w:left="540" w:right="76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$6,918 in 401(k) company matching contributions, parking for the Company’s Cambridge office, and long-term disability premiums, and (ii) $487,861 of cash severance paid in connection with Dr. Humphrey’s departure.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and Compensation Committee review compensation annually for all employees, including the Company’s executives. In setting executive base salaries and annual incentives and granting equity incentive awards, the Company considers compensation for comparable positions in the market, the historical compensation levels of the Company’s executives, internal equity, individual performance as compared to the Company’s expectations and objectives, the Company’s desire to motivate the Company’s employees to achieve short- and long-term results that are in the best interests of the Company’s stockholders and a long-term commitment to the Company. The Company targets a general competitive position, based on independent third-party benchmark analytics to inform the mix of compensation of base salary, annual incentives or long-term incentives.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Compensation Committee is responsible for determining the compensation for senior management of the Company, other than the chief executive officer. The Board of Directors, with the recommendation of the Compensation Committee, is responsible for determining the compensation of the Company’s chief executive officer. The Compensation Committee typically reviews and discusses management’s proposed compensation with the chief executive officer for all senior management other than the chief executive officer. Based on those discussions and its discretion, taking into account the factors noted above, the Compensation Committee then sets the compensation for senior management, other than the chief executive officer, and recommends the compensation for the chief executive officer to the Board of Directors for approval. The Board of Directors discusses the Compensation Committee’s recommendation and ultimately approves the compensation of the Company’s chief executive officer without members of management present.</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2022, the Company’s compensation committee retained the services of Pay Governance LLC (“Pay Governance”) as its external independent compensation consultant. In this role, Pay Governance served as an advisor to the compensation committee on topics primarily related to the Company’s broader compensation structure, executive new hire compensation packages, executive compensation structure, peer group review, benchmarking of executive positions and equity share usage and dilution. In addition, Pay Governance provided advice regarding corporate governance and regulatory environment trends. The Company’s board of directors and compensation committee considered Pay Governance’s input on certain compensation matters as they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deemed appropriate. The Compensation Committee requires that its compensation consultants be independent of management and performs an annual assessment of the compensation consultants’ independence to determine whether the consultants are independent. After review of the independence factors set forth by Nasdaq and the SEC, the compensation committee determined that the engagement of Pay Governance does not raise any conflict of interest.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annual compensation for performing specific duties and functions and has been established by the Compensation Committee or Board of Directors, as applicable, taking into account each individual’s role, responsibilities, skills, and experience. Base salaries for the Company’s named executive officers are reviewed annually by the Compensation Committee or Board of Directors, as applicable, typically in connection with the Company’s annual performance review process, and adjusted from time to time to realign salaries with market levels after taking into account individual responsibilities, internal equity, performance, and experience.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annual incentive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annual incentive program is intended to reward the Company’s named executive officers for meeting objective or subjective performance goals for a fiscal year. From time to time, the Compensation Committee or Board of Directors, as applicable, may approve annual incentives for the Company’s named executive officers based on individual performance, company performance, or as otherwise determined appropriate. Each of the Company’s named executive officers was eligible to receive a target bonus with respect to 2022 (as a percentage of base salary as set forth below) based upon the achievement of corporate performance goals related to, among other things, execution on key development pipeline objectives, the delivery of clinical data, the advancement of key manufacturing objectives, identification of new programs and the ensuring of financial and organizational stability. The Company’s compensation committee determined that corporate goals were achieved for the 2022 annual incentive at up to 110% of target, and based on the recommendation of management, the Company’s board of directors ultimately approved 105% of target.</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Target Annual</w:t>
            </w:r>
          </w:p>
        </w:tc>
        <w:tc>
          <w:tcPr>
            <w:tcW w:w="0" w:type="dxa"/>
            <w:vAlign w:val="bottom"/>
          </w:tcPr>
          <w:p>
            <w:pPr>
              <w:spacing w:after="0"/>
              <w:rPr>
                <w:sz w:val="1"/>
                <w:szCs w:val="1"/>
                <w:color w:val="auto"/>
              </w:rPr>
            </w:pPr>
          </w:p>
        </w:tc>
      </w:tr>
      <w:tr>
        <w:trPr>
          <w:trHeight w:val="14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60"/>
        </w:trPr>
        <w:tc>
          <w:tcPr>
            <w:tcW w:w="6300" w:type="dxa"/>
            <w:vAlign w:val="bottom"/>
            <w:gridSpan w:val="2"/>
            <w:vMerge w:val="continue"/>
          </w:tcPr>
          <w:p>
            <w:pPr>
              <w:spacing w:after="0"/>
              <w:rPr>
                <w:sz w:val="13"/>
                <w:szCs w:val="13"/>
                <w:color w:val="auto"/>
              </w:rPr>
            </w:pPr>
          </w:p>
        </w:tc>
        <w:tc>
          <w:tcPr>
            <w:tcW w:w="11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 of 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Jason Gardner, D.Phil.</w:t>
            </w:r>
          </w:p>
        </w:tc>
        <w:tc>
          <w:tcPr>
            <w:tcW w:w="1120" w:type="dxa"/>
            <w:vAlign w:val="bottom"/>
            <w:shd w:val="clear" w:color="auto" w:fill="CCEEFF"/>
          </w:tcPr>
          <w:p>
            <w:pPr>
              <w:ind w:left="940"/>
              <w:spacing w:after="0" w:line="203" w:lineRule="exact"/>
              <w:rPr>
                <w:sz w:val="20"/>
                <w:szCs w:val="20"/>
                <w:color w:val="auto"/>
              </w:rPr>
            </w:pPr>
            <w:r>
              <w:rPr>
                <w:rFonts w:ascii="Times New Roman" w:cs="Times New Roman" w:eastAsia="Times New Roman" w:hAnsi="Times New Roman"/>
                <w:sz w:val="18"/>
                <w:szCs w:val="18"/>
                <w:color w:val="auto"/>
                <w:w w:val="88"/>
              </w:rPr>
              <w:t>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Mahoney</w:t>
            </w: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Humphrey, M.D.</w:t>
            </w:r>
          </w:p>
        </w:tc>
        <w:tc>
          <w:tcPr>
            <w:tcW w:w="11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Olson, Ph.D.</w:t>
            </w: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equity incentives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equity grant program is intended to align the interests of the Company’s named executive officers with those of the Company’s stockholders and to motivate them to make important contributions to the Company’s performance. For more detail, please refer to “</w:t>
      </w:r>
      <w:r>
        <w:rPr>
          <w:rFonts w:ascii="Times New Roman" w:cs="Times New Roman" w:eastAsia="Times New Roman" w:hAnsi="Times New Roman"/>
          <w:sz w:val="18"/>
          <w:szCs w:val="18"/>
          <w:i w:val="1"/>
          <w:iCs w:val="1"/>
          <w:color w:val="auto"/>
        </w:rPr>
        <w:t>Outstanding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 at 2022 Fiscal Year End</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2022 Fiscal Year End</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all outstanding stock options held by each of the Company’s named executive officers on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restart"/>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80" w:type="dxa"/>
            <w:vAlign w:val="bottom"/>
          </w:tcPr>
          <w:p>
            <w:pPr>
              <w:spacing w:after="0"/>
              <w:rPr>
                <w:sz w:val="12"/>
                <w:szCs w:val="12"/>
                <w:color w:val="auto"/>
              </w:rPr>
            </w:pPr>
          </w:p>
        </w:tc>
        <w:tc>
          <w:tcPr>
            <w:tcW w:w="1140" w:type="dxa"/>
            <w:vAlign w:val="bottom"/>
            <w:gridSpan w:val="3"/>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vMerge w:val="continue"/>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Pr>
          <w:p>
            <w:pPr>
              <w:spacing w:after="0"/>
              <w:rPr>
                <w:sz w:val="15"/>
                <w:szCs w:val="15"/>
                <w:color w:val="auto"/>
              </w:rPr>
            </w:pPr>
          </w:p>
        </w:tc>
        <w:tc>
          <w:tcPr>
            <w:tcW w:w="1140" w:type="dxa"/>
            <w:vAlign w:val="bottom"/>
            <w:gridSpan w:val="3"/>
          </w:tcPr>
          <w:p>
            <w:pPr>
              <w:jc w:val="center"/>
              <w:ind w:right="213"/>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00" w:type="dxa"/>
            <w:vAlign w:val="bottom"/>
            <w:gridSpan w:val="2"/>
          </w:tcPr>
          <w:p>
            <w:pPr>
              <w:jc w:val="center"/>
              <w:ind w:left="191"/>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11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3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Jason Gardner, D.Phil.</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77,399</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7.71</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1/30/2028</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551,473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9.49</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5/11/2028</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171,468</w:t>
            </w:r>
          </w:p>
        </w:tc>
        <w:tc>
          <w:tcPr>
            <w:tcW w:w="1420" w:type="dxa"/>
            <w:vAlign w:val="bottom"/>
            <w:gridSpan w:val="4"/>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11,432</w:t>
            </w:r>
            <w:r>
              <w:rPr>
                <w:rFonts w:ascii="Times New Roman" w:cs="Times New Roman" w:eastAsia="Times New Roman" w:hAnsi="Times New Roman"/>
                <w:sz w:val="25"/>
                <w:szCs w:val="25"/>
                <w:color w:val="auto"/>
                <w:vertAlign w:val="superscript"/>
              </w:rPr>
              <w:t>(1)</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7.13</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2/4/2029</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189,062</w:t>
            </w:r>
          </w:p>
        </w:tc>
        <w:tc>
          <w:tcPr>
            <w:tcW w:w="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85,938</w:t>
            </w:r>
            <w:r>
              <w:rPr>
                <w:rFonts w:ascii="Times New Roman" w:cs="Times New Roman" w:eastAsia="Times New Roman" w:hAnsi="Times New Roman"/>
                <w:sz w:val="25"/>
                <w:szCs w:val="25"/>
                <w:color w:val="auto"/>
                <w:vertAlign w:val="superscript"/>
              </w:rPr>
              <w:t>(2)</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2/9/2030</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63,281</w:t>
            </w:r>
            <w:r>
              <w:rPr>
                <w:rFonts w:ascii="Times New Roman" w:cs="Times New Roman" w:eastAsia="Times New Roman" w:hAnsi="Times New Roman"/>
                <w:sz w:val="25"/>
                <w:szCs w:val="25"/>
                <w:color w:val="auto"/>
                <w:vertAlign w:val="superscript"/>
              </w:rPr>
              <w:t>(3)</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10.80</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2/10/2031</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77,344</w:t>
            </w:r>
            <w:r>
              <w:rPr>
                <w:rFonts w:ascii="Times New Roman" w:cs="Times New Roman" w:eastAsia="Times New Roman" w:hAnsi="Times New Roman"/>
                <w:sz w:val="25"/>
                <w:szCs w:val="25"/>
                <w:color w:val="auto"/>
                <w:vertAlign w:val="superscript"/>
              </w:rPr>
              <w:t>(4)</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8/1/2031</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152,344</w:t>
            </w:r>
            <w:r>
              <w:rPr>
                <w:rFonts w:ascii="Times New Roman" w:cs="Times New Roman" w:eastAsia="Times New Roman" w:hAnsi="Times New Roman"/>
                <w:sz w:val="25"/>
                <w:szCs w:val="25"/>
                <w:color w:val="auto"/>
                <w:vertAlign w:val="superscript"/>
              </w:rPr>
              <w:t>(5)</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2/14/2032</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2"/>
              </w:rPr>
              <w:t>(6)</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5/16/2032</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175,782</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2"/>
              </w:rPr>
              <w:t>(7)</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7/31/2032</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380"/>
              <w:spacing w:after="0" w:line="216"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5"/>
                <w:szCs w:val="25"/>
                <w:color w:val="auto"/>
                <w:vertAlign w:val="superscript"/>
              </w:rPr>
              <w:t>(11)</w:t>
            </w:r>
          </w:p>
        </w:tc>
        <w:tc>
          <w:tcPr>
            <w:tcW w:w="13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20,000</w:t>
            </w:r>
            <w:r>
              <w:rPr>
                <w:rFonts w:ascii="Times New Roman" w:cs="Times New Roman" w:eastAsia="Times New Roman" w:hAnsi="Times New Roman"/>
                <w:sz w:val="25"/>
                <w:szCs w:val="25"/>
                <w:color w:val="auto"/>
                <w:vertAlign w:val="superscript"/>
              </w:rPr>
              <w:t>(12)</w:t>
            </w:r>
          </w:p>
        </w:tc>
        <w:tc>
          <w:tcPr>
            <w:tcW w:w="0" w:type="dxa"/>
            <w:vAlign w:val="bottom"/>
          </w:tcPr>
          <w:p>
            <w:pPr>
              <w:spacing w:after="0"/>
              <w:rPr>
                <w:sz w:val="1"/>
                <w:szCs w:val="1"/>
                <w:color w:val="auto"/>
              </w:rPr>
            </w:pPr>
          </w:p>
        </w:tc>
      </w:tr>
      <w:tr>
        <w:trPr>
          <w:trHeight w:val="30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Mahoney</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226,562</w:t>
            </w:r>
          </w:p>
        </w:tc>
        <w:tc>
          <w:tcPr>
            <w:tcW w:w="142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208,438</w:t>
            </w:r>
            <w:r>
              <w:rPr>
                <w:rFonts w:ascii="Times New Roman" w:cs="Times New Roman" w:eastAsia="Times New Roman" w:hAnsi="Times New Roman"/>
                <w:sz w:val="26"/>
                <w:szCs w:val="26"/>
                <w:color w:val="auto"/>
                <w:vertAlign w:val="superscript"/>
              </w:rPr>
              <w:t>(8)</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6.28</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11/1/2030</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24,375</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105,625</w:t>
            </w:r>
            <w:r>
              <w:rPr>
                <w:rFonts w:ascii="Times New Roman" w:cs="Times New Roman" w:eastAsia="Times New Roman" w:hAnsi="Times New Roman"/>
                <w:sz w:val="25"/>
                <w:szCs w:val="25"/>
                <w:color w:val="auto"/>
                <w:vertAlign w:val="superscript"/>
              </w:rPr>
              <w:t>(5)</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3.19</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20,833</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41,667</w:t>
            </w:r>
            <w:r>
              <w:rPr>
                <w:rFonts w:ascii="Times New Roman" w:cs="Times New Roman" w:eastAsia="Times New Roman" w:hAnsi="Times New Roman"/>
                <w:sz w:val="25"/>
                <w:szCs w:val="25"/>
                <w:color w:val="auto"/>
                <w:vertAlign w:val="superscript"/>
              </w:rPr>
              <w:t>(6)</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8,125</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121,875</w:t>
            </w:r>
            <w:r>
              <w:rPr>
                <w:rFonts w:ascii="Times New Roman" w:cs="Times New Roman" w:eastAsia="Times New Roman" w:hAnsi="Times New Roman"/>
                <w:sz w:val="25"/>
                <w:szCs w:val="25"/>
                <w:color w:val="auto"/>
                <w:vertAlign w:val="superscript"/>
              </w:rPr>
              <w:t>(7)</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7/31/2032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6"/>
                <w:szCs w:val="26"/>
                <w:color w:val="auto"/>
                <w:vertAlign w:val="superscript"/>
              </w:rPr>
              <w:t>(11)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26"/>
                <w:szCs w:val="26"/>
                <w:color w:val="auto"/>
                <w:vertAlign w:val="superscript"/>
              </w:rPr>
              <w:t>(12)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Humphrey, M.D.</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Olson, Ph.D.</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67,500</w:t>
            </w:r>
          </w:p>
        </w:tc>
        <w:tc>
          <w:tcPr>
            <w:tcW w:w="142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52,500</w:t>
            </w:r>
            <w:r>
              <w:rPr>
                <w:rFonts w:ascii="Times New Roman" w:cs="Times New Roman" w:eastAsia="Times New Roman" w:hAnsi="Times New Roman"/>
                <w:sz w:val="26"/>
                <w:szCs w:val="26"/>
                <w:color w:val="auto"/>
                <w:vertAlign w:val="superscript"/>
              </w:rPr>
              <w:t>(9)</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7.77</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9/13/2030</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7,031</w:t>
            </w:r>
            <w:r>
              <w:rPr>
                <w:rFonts w:ascii="Times New Roman" w:cs="Times New Roman" w:eastAsia="Times New Roman" w:hAnsi="Times New Roman"/>
                <w:sz w:val="25"/>
                <w:szCs w:val="25"/>
                <w:color w:val="auto"/>
                <w:vertAlign w:val="superscript"/>
              </w:rPr>
              <w:t>(3)</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10.80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2/10/2031</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17,708</w:t>
            </w:r>
          </w:p>
        </w:tc>
        <w:tc>
          <w:tcPr>
            <w:tcW w:w="14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32,292</w:t>
            </w:r>
            <w:r>
              <w:rPr>
                <w:rFonts w:ascii="Times New Roman" w:cs="Times New Roman" w:eastAsia="Times New Roman" w:hAnsi="Times New Roman"/>
                <w:sz w:val="25"/>
                <w:szCs w:val="25"/>
                <w:color w:val="auto"/>
                <w:vertAlign w:val="superscript"/>
              </w:rPr>
              <w:t>(10)</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8.90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7/19/2031</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3,906</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8,594</w:t>
            </w:r>
            <w:r>
              <w:rPr>
                <w:rFonts w:ascii="Times New Roman" w:cs="Times New Roman" w:eastAsia="Times New Roman" w:hAnsi="Times New Roman"/>
                <w:sz w:val="25"/>
                <w:szCs w:val="25"/>
                <w:color w:val="auto"/>
                <w:vertAlign w:val="superscript"/>
              </w:rPr>
              <w:t>(4)</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8/1/2031</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18,750</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81,250</w:t>
            </w:r>
            <w:r>
              <w:rPr>
                <w:rFonts w:ascii="Times New Roman" w:cs="Times New Roman" w:eastAsia="Times New Roman" w:hAnsi="Times New Roman"/>
                <w:sz w:val="25"/>
                <w:szCs w:val="25"/>
                <w:color w:val="auto"/>
                <w:vertAlign w:val="superscript"/>
              </w:rPr>
              <w:t>(5)</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3.19</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16,666</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33,334</w:t>
            </w:r>
            <w:r>
              <w:rPr>
                <w:rFonts w:ascii="Times New Roman" w:cs="Times New Roman" w:eastAsia="Times New Roman" w:hAnsi="Times New Roman"/>
                <w:sz w:val="25"/>
                <w:szCs w:val="25"/>
                <w:color w:val="auto"/>
                <w:vertAlign w:val="superscript"/>
              </w:rPr>
              <w:t>(6)</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6,250</w:t>
            </w:r>
          </w:p>
        </w:tc>
        <w:tc>
          <w:tcPr>
            <w:tcW w:w="1420" w:type="dxa"/>
            <w:vAlign w:val="bottom"/>
            <w:gridSpan w:val="4"/>
          </w:tcPr>
          <w:p>
            <w:pPr>
              <w:jc w:val="right"/>
              <w:ind w:right="53"/>
              <w:spacing w:after="0" w:line="216" w:lineRule="exact"/>
              <w:rPr>
                <w:sz w:val="20"/>
                <w:szCs w:val="20"/>
                <w:color w:val="auto"/>
              </w:rPr>
            </w:pPr>
            <w:r>
              <w:rPr>
                <w:rFonts w:ascii="Times New Roman" w:cs="Times New Roman" w:eastAsia="Times New Roman" w:hAnsi="Times New Roman"/>
                <w:sz w:val="17"/>
                <w:szCs w:val="17"/>
                <w:color w:val="auto"/>
              </w:rPr>
              <w:t>93,750</w:t>
            </w:r>
            <w:r>
              <w:rPr>
                <w:rFonts w:ascii="Times New Roman" w:cs="Times New Roman" w:eastAsia="Times New Roman" w:hAnsi="Times New Roman"/>
                <w:sz w:val="25"/>
                <w:szCs w:val="25"/>
                <w:color w:val="auto"/>
                <w:vertAlign w:val="superscript"/>
              </w:rPr>
              <w:t>(7)</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7/31/2032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6"/>
                <w:szCs w:val="26"/>
                <w:color w:val="auto"/>
                <w:vertAlign w:val="superscript"/>
              </w:rPr>
              <w:t>(11)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26"/>
                <w:szCs w:val="26"/>
                <w:color w:val="auto"/>
                <w:vertAlign w:val="superscript"/>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right="600" w:hanging="424"/>
        <w:spacing w:after="0" w:line="261"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January 1, 2019, subject to his continuous service on each vesting date.</w:t>
      </w:r>
    </w:p>
    <w:p>
      <w:pPr>
        <w:ind w:left="540" w:right="60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January 1, 2020, subject to his continuous service on each vesting date.</w:t>
      </w:r>
    </w:p>
    <w:p>
      <w:pPr>
        <w:ind w:left="540" w:right="3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January 1, 2021, subject to his/her continuous service on each vesting date.</w:t>
      </w:r>
    </w:p>
    <w:p>
      <w:pPr>
        <w:ind w:left="540" w:right="36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August 2, 2021, subject to his/her continuous service on each vesting date.</w:t>
      </w:r>
    </w:p>
    <w:p>
      <w:pPr>
        <w:ind w:left="540" w:right="2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February 1, 2022, subject to his/her continuous service on each vesting date.</w:t>
      </w:r>
    </w:p>
    <w:p>
      <w:pPr>
        <w:ind w:left="540" w:right="2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three equal six month installments over 18 months from the vesting commencement date of May 15, 2022 subject to his/her continuous service on each vesting date.</w:t>
      </w:r>
    </w:p>
    <w:p>
      <w:pPr>
        <w:ind w:left="540" w:right="36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in 16 equal quarterly installments over four years from the vesting commencement date of August 1, 2022, subject to his/her continuous service on each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6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these options vested on November 2, 2021, the first anniversary of the vesting commencement date, and the remaining 75% of the option vests in 36 equal monthly installments, subject to his continuous service.</w:t>
      </w:r>
    </w:p>
    <w:p>
      <w:pPr>
        <w:ind w:left="540" w:right="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these options vested on September 14, 2021 the first anniversary of the vesting commencement date, and the remaining 75% of the option vests in 36 equal monthly installments, subject to her continuous service.</w:t>
      </w:r>
    </w:p>
    <w:p>
      <w:pPr>
        <w:ind w:left="540" w:right="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these options vested on September 20, 2022 the first anniversary of the vesting commencement date, and the remaining 75% of the option vests in 36 equal monthly installments, subject to her continuous service.</w:t>
      </w: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PSUs only vest upon achievement of specific performance targets which must be achieved by December 31, 2023.</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equal to $0.40, the closing price of the Company’s common stock on December 30, 2022, the last trading day of the 2022 fiscal year, times the number of unvested restricted performance stock units.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the Company’s named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Jason Gardner, D.Phil.</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disclosed in the Company’s Annual Report on Form 10-K filed with the SEC on March 8, 2022, the Company entered into an amended and restated employment agreement with Jason Gardner, D.Phil., the Company’s former Chief Executive Officer and President, which became effective March 3, 2022.</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February 7, 2023, the Company entered into a letter agreement with Dr. Gardner in connection with the Company’s restructuring plan, which included the termination of Dr. Gardner’s employment with the Company as disclosed in a Current Report on Form 8-K filed February 7, 2023. The letter agreement with Dr. Gardner covered certain separation and transition arrangements described below and supersedes his amended and restated employment agreement with the Company.</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Dr. Gardner’s amended and restated employment agreement provided for the payment of an annual base salary and annual incentive compensation, subject to review and redetermination by the Company’s board of directors. Dr. Gardner’s base salary for fiscal year 2022 was $565,000, and he was eligible to earn an annual incentive with a target amount equal to 55% of his base salary. Dr. Gardner was also eligible to participate in the employee benefit plans available to the Company’s employees, subject to the terms of those plans.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Dr. Gardner’s amended and restated employment agreement, in the event he was terminated by the Company without “cause” (as defined in the agreement) or he resigned for “good reason” (as defined in the agreement), subject to the delivery of a fully effective general release of claims against the Company and all related persons and entities, a reaffirmation of all of his continuing obligations (as defined in the agreement) and, in the Company’s sole discretion, a one year post-employment noncompetition covenant, Dr. Gardner was also entitled to receive (i) a cash severance equal to one (1) times his base salary, plus a pro-rata portion of his target annual incentive compensation, payable over the 12-month period following the termination of his employment, and (ii) up to 12 monthly cash payments equal to the monthly contribution for health insurance for Dr. Gardner.</w:t>
      </w:r>
    </w:p>
    <w:p>
      <w:pPr>
        <w:spacing w:after="0" w:line="187" w:lineRule="exact"/>
        <w:rPr>
          <w:sz w:val="20"/>
          <w:szCs w:val="20"/>
          <w:color w:val="auto"/>
        </w:rPr>
      </w:pPr>
    </w:p>
    <w:p>
      <w:pPr>
        <w:ind w:left="120" w:right="300" w:firstLine="440"/>
        <w:spacing w:after="0" w:line="273" w:lineRule="auto"/>
        <w:rPr>
          <w:sz w:val="20"/>
          <w:szCs w:val="20"/>
          <w:color w:val="auto"/>
        </w:rPr>
      </w:pPr>
      <w:r>
        <w:rPr>
          <w:rFonts w:ascii="Times New Roman" w:cs="Times New Roman" w:eastAsia="Times New Roman" w:hAnsi="Times New Roman"/>
          <w:sz w:val="17"/>
          <w:szCs w:val="17"/>
          <w:color w:val="auto"/>
        </w:rPr>
        <w:t>In the event Dr. Gardner was terminated by the Company without cause or he resigned for good reason, each during the three months before through 12 months following a “change in control” (as defined in the agreement), subject to the delivery of a fully effective general release of claims against the Company and all related persons and entities, a reaffirmation of all of his continuing obligations (as defined in the agreement) and, in the Company’s sole discretion, a one year post-employment noncompetition covenant, Dr. Gardner was not entitled to receive the severance benefits described above, but instead was entitled to the following: (i) a lump sum cash severance equal to 1.5 times his base salary, plus 150% of his target annual incentive compensation, (ii) for all outstanding time-based stock options and other time-based stock-based awards held by Dr. Gardner, full accelerated vesting of such awards, and (iii) up to 18 monthly cash payments equal to the monthly contribution for health insurance for Dr. Gardner.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letter agreement signed in connection with the termination of Dr. Gardner’s employment includes, among other things, (a) confirmation that he would receive severance in accordance with his amended and restated employment agreement, (b) certain standard terms and conditions, including a release of claims, continued compliance with his confidentiality and nondisclosure, assignment of intellectual property work product, post-termination noncompetition and non-solicitation obligations and (c) certain other restrictive covenants.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Mahoney</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disclosed in the Company’s Annual Report on Form 10-K filed with the SEC on March 8, 2022, the Company entered into an amended and restated employment agreement with Stephen Mahoney, Company’s former President, Chief Financial and Operating Officer and Treasurer, which became effective March 3, 2022.</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Mr. Mahoney’s amended and restated employment agreement provided for the payment of an annual base salary and annual incentive compensation, subject to review and redetermination by the compensation committee of the Company’s board of directors. Mr. Mahoney’s base salary for fiscal year 2022 was $448,000, and he was eligible to earn an annual incentive with a target amount equal to 40% of his base salary. Mr. Mahoney was also eligible to participate in the employee benefit plans available to the Company’s employees, subject to the terms of those plans.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his amended and restated employment agreement, in the event Mr. Mahoney was terminated by the Company without “cause” (as defined in the agreement) or he resigns for “good reason” (as defined in the agreement), subject to the delivery of a fully effective general release of claims against the Company and all related persons and entities, a reaffirmation of all of Mr. Mahoney’s continuing obligations (as defined in the agreement) and, in the Company’s sole discretion, a one year post-employment noncompetition covenant, Mr. Mahoney was entitled to receive (i) a cash severance equal to 0.75 times his base salary plus a pro-rata portion of his target annual incentive compensation, payable over the 12-month period following the termination of his employment and (ii) up to nine monthly cash payments equal to the monthly contribution for health insurance for Mr. Mahoney.</w:t>
      </w:r>
    </w:p>
    <w:p>
      <w:pPr>
        <w:spacing w:after="0" w:line="189"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In the event Mr. Mahoney was terminated by the Company without cause or he resigns for good reason, each during the three months before through 12 months following a “change in control” (as defined in the agreement), subject to the delivery of a fully effective release of claims, Mr. Mahoney was not entitled to receive the severance benefits described above, but instead was entitled to the following: (i) a lump sum cash severance equal to one times his base salary, plus 100% of his target annual incentive compensation, (ii) for all outstanding time-based stock options and other time-based stock-based awards held by Mr. Mahoney, full accelerated vesting of such awards and (iii) up to 12 monthly cash payments equal to the monthly contribution for health insurance for Mr. Mahoney.</w:t>
      </w:r>
    </w:p>
    <w:p>
      <w:pPr>
        <w:spacing w:after="0" w:line="18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Pursuant to his amended and restated employment agreement, Mr. Mahoney was subject to standard confidentiality and nondisclosure, assignment of intellectual property work product and post-termination noncompetition and non-solicitation of employees, consultants and customers covenants.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23, 2023, the compensation committee of Company’s board of directors approved a retention incentive bonus payment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Mahoney pursuant to the Company’s Senior Executive Cash Incentive Bonus Plan equal to the pro rata amount of (i) 125% of his base salary for calendar year 2023, plus (ii) 125% of his target bonus for calendar year 2023, each subject to a maximum of 75% of such 2023 pro rata amount. This payment shall be made upon the earlier of (a) the completion of a merger or similar change of control of Company, (b) the completion of a liquidation of the Company, (c) the date he is terminated by the Company not for cause (as defined in his employment agreement) or (d) the date that the compensation committee of the Company’s board of directors otherwise determines. Mr. Mahoney received payment of the retention incentive bonus in connection with the closing of the Merger.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termination of his employment immediately following the closing of the Merger, Mr. Mahoney became eligible to receive the separation payments and benefits provided for under his amended and restated employment agreement for a termination without cause following a change in control upon his execution and non-revocation of a separation agreement that included a general release of claims; however, in lieu of up to 12 monthly cash payments for health insurance, Mr. Mahoney was provided with a lump sum payment of $63,000. Under his separation agreement,</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Mahoney was also provided with outplacement services for 45 days, and the Company waived his post-employment non-competition restrictions.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Jeffrey Humphrey, M.D.</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Effective as of May 2, 2022, the Company entered into an amended and restated employment agreement with Jeffrey Humphrey, M.D., the Company’s former Chief Medical Officer.</w:t>
      </w:r>
    </w:p>
    <w:p>
      <w:pPr>
        <w:spacing w:after="0" w:line="162"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On August 15, 2022, Dr. Humphrey’s employment with the Company ended, as disclosed in a Current Report on Form 8-K filed August 17, 2022. In connection with the end of Dr. Humphrey’s employment, the Company entered into a letter agreement with him, dated August 15, 2022, that includes certain separation and transition arrangements described below and supersedes his amended and restated employment agreement with the Company.</w:t>
      </w:r>
    </w:p>
    <w:p>
      <w:pPr>
        <w:spacing w:after="0" w:line="15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Dr. Humphrey’s amended and restated employment agreement provided for the payment of an annual base salary and annual incentive compensation, subject to review and redetermination by the compensation committee of the Company’s board of directors. Dr. Humphrey’s base salary for fiscal year 2022 was $489,000, and he was eligible to earn an annual incentive with a target amount equal to 40% of his base salary. Dr. Humphrey was also eligible to participate in the employee benefit plans available to the Company’s employees, subject to the terms of those plans.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his amended and restated employment agreement, in the event Dr. Humphrey was terminated by the Company without “cause” (as defined in the agreement) or he resigned for “good reason” (as defined in the agreement), subject to the delivery of a fully effective general release of claims against the Company and all related persons and entities, a reaffirmation of all of Dr. Humphrey’s continuing obligations (as defined in the agreement) and, in the Company’s sole discretion, a one year post-employment noncompetition covenant, Dr. Humphrey was entitled to receive (i) a cash severance equal to 0.75 times his base salary plus a pro-rata portion of his target annual incentive compensation, payable over the 12-month period following the termination of his employment and (ii) up to nine monthly cash payments equal to the monthly contribution for health insurance for Dr. Humphrey.</w:t>
      </w:r>
    </w:p>
    <w:p>
      <w:pPr>
        <w:spacing w:after="0" w:line="18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the event Dr. Humphrey was terminated by the Company without cause or he resigned for good reason, each during the three months before through 12 months following a “change in control” (as defined in the agreement), subject to the delivery of a fully effective release of claims, Dr. Humphrey was not entitled to receive the severance benefits described above, but was instead entitled to the following: (i) a lump sum cash severance equal to one times his base salary, plus 100% of his target annual incentive compensation, (ii) for all outstanding time-based stock options and other time-based stock-based awards held by Dr. Humphrey, full accelerated vesting of such awards, and (iii) up to 12 monthly cash payments equal to the monthly contribution for health insurance for Dr. Humphrey.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letter agreement signed in connection with the termination of Dr. Humphrey’s employment includes, among other things, (a) confirmation that he would receive severance in accordance with his amended and restated employment agreement, (b) certain standard terms and conditions, including a release of claims, continued compliance with his confidentiality and nondisclosure, assignment of intellectual property work product, post-termination noncompetition and non-solicitation obligations and (c) certain other restrictive covenants.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Lisa Olson, Ph.D.</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Effective as of May 2, 2022, the Company entered into an amended and restated employment agreement with Lisa Olson, Ph.D., the Company’s Head of Research and Chief Scientific Officer.</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Effective May 15, 2023, Dr. Olson left the Company due to the completion of the sale of certain of the Company’s assets and its announced proposed merger with Dianthus. The Company entered into a consulting agreement with Dr. Olson for work on an as-requested basis and at an hourly rate. Dr. Olson is entitled to receive severance benefits pursuant to the terms of her amended and restated employment agreement described below.</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Dr. Olson’s amended and restated employment agreement provides for the payment of an annual base salary and annual incentive compensation, subject to review and redetermination by the compensation committee of the Company’s board of directors. Dr. Olson’s base salary for fiscal year 2022 was $428,000, and she was eligible to earn an annual incentive with a target amount equal to 40% of her base salary. Dr. Olson was also eligible to participate in the employee benefit plans available to the Company’s employees, subject to the terms of those plans.</w:t>
      </w:r>
    </w:p>
    <w:p>
      <w:pPr>
        <w:spacing w:after="0" w:line="180"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Pursuant to her amended and restated employment agreement, in the event Dr. Olson was terminated by the Company without “cause” (as defined in the agreement) or she resigned for “good reason” (as defined in the agreement), subject to the delivery of a fully effective general release of claims against the Company and all related persons and entities, a reaffirmation of all of Dr. Olson’s continuing obligations (as defined in the agreement) and, in the Company’s sole discretion, a one year post-employment noncompetition covenant, Dr. Olson was entitled to receive (i) a cash severance equal to 0.75 times her base salary plus a pro-rata portion of her target annual incentive compensation, payable over the 12-month period following the termination of her employment and (ii) up to nine monthly cash payments equal to the monthly contribution for health insurance for Dr. Olson.</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event Dr. Olson was terminated by the Company without cause or she resigned for good reason, each during the three months before through the 12 months following a “change in control” (as defined in the agreement), subject to the delivery of a fully effective release of claims, Dr. Olson was not entitled to receive the severance benefits described above, but was instead entitled to the following: (i) a lump sum cash severance equal to one times her base salary, plus 100% of her target annual incentive compensation, (ii) for all outstanding time-based stock options and other time-based stock-based awards held by Dr. Olson, full accelerated vesting of such awards and (iii) up to 12 monthly cash payments equal to the monthly contribution for health insurance for Dr. Olson.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her amended and restated employment agreement, Dr. Olson was subject to standard confidentiality and nondisclosure, assignment of intellectual property work product and post-termination noncompetition and non-solicitation of employees, consultants and customers covenants.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23, 2023, the compensation committee of the Company’s board of directors approved a retention incentive bonus payment to Dr. Olson pursuant to the Company’s Senior Executive Cash Incentive Bonus Plan equal to the pro rata amount of (i) 125% of her base salary for calendar year 2023, plus (ii) 125% of her target bonus for calendar year 2023, each subject to a maximum of 75% of such 2023 pro rata amount. This payment was to be made upon the earlier of (a) the completion of a merger or similar change of control of the Company, (b) the completion of a liquidation of the Company, (c) the date she was terminated by the Company not for cause (as defined in her employment agreement) or (d) the date that the compensation committee of the Company’s board of directors otherwise determined.</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was to pay Dr. Olson an additional bonus equal to 75% of the difference between the amount Dr. Olson would be entitled to receive in the event her employment was terminated by the Company (i) without cause or she resigned for good reason, each during the three months before through the 12 months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following a change in control and (ii) without cause or she resigned for good reason not during this change in control period, up to a cap of $171,000. This additional bonus was payable to Dr. Olson if (a) she was terminated by the Company not for cause, (b) a change in control occurs prior to the end of calendar year 2023 and (c) Dr. Olson was not otherwise entitled to the payments described in her employment agreement for (x) being terminated by the Company without cause or (y) resigning for good reason, during the change of control period.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letter agreement signed in connection with the termination of Dr. Olson’s employment includes, among other things, (a) confirmation that she would receive severance in accordance with her amended and restated employment agreement, (b) certain standard terms and conditions, including a release of claims, continued compliance with her confidentiality and nondisclosure, assignment of intellectual property work product, post-termination noncompetition and non-solicitation obligations and (c) certain other restrictive covenants.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Risk Assessment</w:t>
      </w:r>
    </w:p>
    <w:p>
      <w:pPr>
        <w:spacing w:after="0" w:line="11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Company believes that although a portion of the compensation provided to the Company’s executive officers and other employees is performance-based, the Company’s executive compensation program does not encourage excessive or unnecessary risk taking. This is primarily due to the fact that the Company’s compensation programs are designed to encourage the Company’s executive officers and other employees to remain focused on both short-term and long-term strategic goals, in particular in connection with the Company’s pay-for-performance compensation philosophy. As a result, the Company does not believe that its compensation programs are reasonably likely to have a material adverse effect on the Company.</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table below shows all compensation paid to the Company’s non-employee directors during 2022. Jason Gardner, D.Phil., the Company’s former President and Chief Executive Officer, received no compensation for his service as a director, and, consequently, is not included in this table. The compensation received by Dr. Gardner as an employee during 2022 is presented in “</w:t>
      </w:r>
      <w:r>
        <w:rPr>
          <w:rFonts w:ascii="Times New Roman" w:cs="Times New Roman" w:eastAsia="Times New Roman" w:hAnsi="Times New Roman"/>
          <w:sz w:val="18"/>
          <w:szCs w:val="18"/>
          <w:i w:val="1"/>
          <w:iCs w:val="1"/>
          <w:color w:val="auto"/>
        </w:rPr>
        <w:t>—Executive Compensation—2022 Summary Compensation Table</w:t>
      </w:r>
      <w:r>
        <w:rPr>
          <w:rFonts w:ascii="Times New Roman" w:cs="Times New Roman" w:eastAsia="Times New Roman" w:hAnsi="Times New Roman"/>
          <w:sz w:val="18"/>
          <w:szCs w:val="18"/>
          <w:color w:val="auto"/>
        </w:rPr>
        <w:t>” above.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40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20" w:type="dxa"/>
            <w:vAlign w:val="bottom"/>
            <w:gridSpan w:val="2"/>
            <w:vMerge w:val="continue"/>
          </w:tcPr>
          <w:p>
            <w:pPr>
              <w:spacing w:after="0"/>
              <w:rPr>
                <w:sz w:val="13"/>
                <w:szCs w:val="13"/>
                <w:color w:val="auto"/>
              </w:rPr>
            </w:pPr>
          </w:p>
        </w:tc>
        <w:tc>
          <w:tcPr>
            <w:tcW w:w="14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r>
              <w:rPr>
                <w:rFonts w:ascii="Times New Roman" w:cs="Times New Roman" w:eastAsia="Times New Roman" w:hAnsi="Times New Roman"/>
                <w:sz w:val="10"/>
                <w:szCs w:val="10"/>
                <w:b w:val="1"/>
                <w:bCs w:val="1"/>
                <w:color w:val="auto"/>
              </w:rPr>
              <w:t>(1)</w:t>
            </w:r>
          </w:p>
        </w:tc>
        <w:tc>
          <w:tcPr>
            <w:tcW w:w="14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168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Compensation($</w:t>
            </w:r>
            <w:r>
              <w:rPr>
                <w:rFonts w:ascii="Times New Roman" w:cs="Times New Roman" w:eastAsia="Times New Roman" w:hAnsi="Times New Roman"/>
                <w:sz w:val="14"/>
                <w:szCs w:val="14"/>
                <w:b w:val="1"/>
                <w:bCs w:val="1"/>
                <w:color w:val="auto"/>
              </w:rPr>
              <w:t>)</w:t>
            </w: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Jeffrey W. Albers</w:t>
            </w:r>
            <w:r>
              <w:rPr>
                <w:rFonts w:ascii="Times New Roman" w:cs="Times New Roman" w:eastAsia="Times New Roman" w:hAnsi="Times New Roman"/>
                <w:sz w:val="23"/>
                <w:szCs w:val="23"/>
                <w:color w:val="auto"/>
                <w:vertAlign w:val="superscript"/>
              </w:rPr>
              <w:t>(3)</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47,500</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2"/>
              </w:rPr>
              <w:t>16,910</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ind w:left="7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64,410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Bruce Booth, D.Phil.</w:t>
            </w:r>
            <w:r>
              <w:rPr>
                <w:rFonts w:ascii="Times New Roman" w:cs="Times New Roman" w:eastAsia="Times New Roman" w:hAnsi="Times New Roman"/>
                <w:sz w:val="25"/>
                <w:szCs w:val="25"/>
                <w:color w:val="auto"/>
                <w:vertAlign w:val="superscript"/>
              </w:rPr>
              <w:t>(4)</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42,500</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59,410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Alexis A. Borisy</w:t>
            </w:r>
            <w:r>
              <w:rPr>
                <w:rFonts w:ascii="Times New Roman" w:cs="Times New Roman" w:eastAsia="Times New Roman" w:hAnsi="Times New Roman"/>
                <w:sz w:val="25"/>
                <w:szCs w:val="25"/>
                <w:color w:val="auto"/>
                <w:vertAlign w:val="superscript"/>
              </w:rPr>
              <w:t>(5)</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34,345</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34,345</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Thomas O. Daniel, M.D.</w:t>
            </w:r>
            <w:r>
              <w:rPr>
                <w:rFonts w:ascii="Times New Roman" w:cs="Times New Roman" w:eastAsia="Times New Roman" w:hAnsi="Times New Roman"/>
                <w:sz w:val="25"/>
                <w:szCs w:val="25"/>
                <w:color w:val="auto"/>
                <w:vertAlign w:val="superscript"/>
              </w:rPr>
              <w:t>(6)</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53,750</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70,660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Alison F. Lawton</w:t>
            </w:r>
            <w:r>
              <w:rPr>
                <w:rFonts w:ascii="Times New Roman" w:cs="Times New Roman" w:eastAsia="Times New Roman" w:hAnsi="Times New Roman"/>
                <w:sz w:val="25"/>
                <w:szCs w:val="25"/>
                <w:color w:val="auto"/>
                <w:vertAlign w:val="superscript"/>
              </w:rPr>
              <w:t>(7)</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77,750</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94,660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Anne McGeorge</w:t>
            </w:r>
            <w:r>
              <w:rPr>
                <w:rFonts w:ascii="Times New Roman" w:cs="Times New Roman" w:eastAsia="Times New Roman" w:hAnsi="Times New Roman"/>
                <w:sz w:val="25"/>
                <w:szCs w:val="25"/>
                <w:color w:val="auto"/>
                <w:vertAlign w:val="superscript"/>
              </w:rPr>
              <w:t>(8)</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50,645</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67,555</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Amy Lynn Ronneberg</w:t>
            </w:r>
            <w:r>
              <w:rPr>
                <w:rFonts w:ascii="Times New Roman" w:cs="Times New Roman" w:eastAsia="Times New Roman" w:hAnsi="Times New Roman"/>
                <w:sz w:val="25"/>
                <w:szCs w:val="25"/>
                <w:color w:val="auto"/>
                <w:vertAlign w:val="superscript"/>
              </w:rPr>
              <w:t>(9)</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41,655</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58,565</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T. Scadden, M.D.</w:t>
            </w:r>
            <w:r>
              <w:rPr>
                <w:rFonts w:ascii="Times New Roman" w:cs="Times New Roman" w:eastAsia="Times New Roman" w:hAnsi="Times New Roman"/>
                <w:sz w:val="25"/>
                <w:szCs w:val="25"/>
                <w:color w:val="auto"/>
                <w:vertAlign w:val="superscript"/>
              </w:rPr>
              <w:t>(10)</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52,500</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16,910</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119,410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Vasconcelles, M.D.</w:t>
            </w:r>
            <w:r>
              <w:rPr>
                <w:rFonts w:ascii="Times New Roman" w:cs="Times New Roman" w:eastAsia="Times New Roman" w:hAnsi="Times New Roman"/>
                <w:sz w:val="25"/>
                <w:szCs w:val="25"/>
                <w:color w:val="auto"/>
                <w:vertAlign w:val="superscript"/>
              </w:rPr>
              <w:t>(11)</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5,677</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50,404</w:t>
            </w:r>
          </w:p>
        </w:tc>
        <w:tc>
          <w:tcPr>
            <w:tcW w:w="1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for services rendered by each member of the Company’s board of directors.</w:t>
      </w:r>
    </w:p>
    <w:p>
      <w:pPr>
        <w:spacing w:after="0" w:line="27"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option awards granted under the 2018 Plan during 2022 calculated in accordance with FASB ASC Topic 718. See Note 7 to Magenta’s financial statements included in Magenta’s Annual Report on Form 10-K included herein for the year ended December 31, 2022 regarding assumptions used in determining the fair value of option awards.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Albers held unexercised options to purchase 126,808 shares of Company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Booth held unexercised options to purchase 74,564 shares of Company common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7"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Borisy did not hold any unexercised options to purchase shares of Company common stock. As disclosed in the Company’s Current Report on Form 8-K filed with the SEC on August 17, 2022. Mr. Borisy was not nominated for re-election to the Company’s board of directors at the Company’s 2022 Annual Meeting of Stockholders.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Daniel held unexercised options to purchase 74,564 shares of Company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Lawton held unexercised options to purchase 126,809 shares of Company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McGeorge held unexercised options to purchase 92,753 shares of Company common stock.</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Ms. Ronneberg is employed with the Be The Match organization, she is required to transfer, assign and pledge any cash consideration or similar payments that she receives as a result of her service on the Company’s board of directors to the Be The Match organization. Ms. Ronneberg is also required, to the extent that she elects to exercise any options to purchase shares of Company common stock granted to her, to transfer, assign and pledge such shares to the Be The Match organization. As of December 31, 2022, Ms. Ronneberg held unexercised options to purchase 126,808 shares of Company common stock.</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Scadden was paid $50,000 in 2022 related to services for the Company’s Scientific Advisory Board. As of December 31, 2022, Dr. Scadden held unexercised options to purchase 74,564 shares of Company common stock.</w:t>
      </w:r>
    </w:p>
    <w:p>
      <w:pPr>
        <w:ind w:left="540" w:right="180" w:hanging="424"/>
        <w:spacing w:after="0" w:line="255"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Vasconcelles held unexercised options to purchase 40,000 shares of Company common stock. As disclosed in the Company’s Current Report on Form 8-K filed with the SEC on August 17, 2022, Dr. Vasconcelles joined the Company’s board of directors on August 15, 2022.</w:t>
      </w:r>
    </w:p>
    <w:p>
      <w:pPr>
        <w:spacing w:after="0" w:line="18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Company’s director compensation program, the Company pays its non-employee directors a cash retainer for service on the Company’s board of directors and for service on each committee on which the director is a member. The chair of each committee receives a higher retainer for such service. These fees are payable in arrears in four equal quarterly installments pro-rated based on the number of actual days served by the director during such calendar quarter. The fees paid to non-employee directors for service on the Company’s board of directors and for service on each committee of the Company’s board of directors on which the director is a member during 2022 were as follows: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w:t>
            </w:r>
          </w:p>
        </w:tc>
      </w:tr>
      <w:tr>
        <w:trPr>
          <w:trHeight w:val="173"/>
        </w:trPr>
        <w:tc>
          <w:tcPr>
            <w:tcW w:w="6800" w:type="dxa"/>
            <w:vAlign w:val="bottom"/>
          </w:tcPr>
          <w:p>
            <w:pPr>
              <w:spacing w:after="0"/>
              <w:rPr>
                <w:sz w:val="15"/>
                <w:szCs w:val="15"/>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Retainer</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 of the Board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R&amp;D Committee: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also reimburses its non-employee directors for reasonable travel and out-of-pocket expenses incurred in connection with attending the Company’s board of director and committee meetings.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during 2022, each new non-employee director elected to the Company’s board of directors was granted an initial, one-time equity award of a stock option to purchase 40,000 shares of Company common stock that vested 33% on the first anniversary of the grant, with the remainder vesting monthly in equal installments over the following two years, provided, however, that all vesting shall cease if the director resigns from the Company’s board of directors or otherwise ceases to serve as a director of the Company. On the date of each annual meeting of stockholders of the Company, each continuing non-employee director received an annual equity award of a stock option to purchase 20,000 shares, which vested in full upon the earlier to occur of the first anniversary of the date of grant or the date of the next annual meeting; provided, however, that vesting shall cease if the director resigns from the Company’s board of directors or otherwise ceases to serve as a director, unless the Company’s board of directors determines that the circumstances warrant continuation of vesting. Each such option grant shall have a per share exercise price equal to the Fair Market Value (as defined in the 2018 Plan) of Company common stock on the date of such grant.</w:t>
      </w:r>
    </w:p>
    <w:p>
      <w:pPr>
        <w:spacing w:after="0" w:line="18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This program is intended to provide a total compensation package that enables the Company to attract and retain qualified and experienced individuals to serve as directors and to align its directors’ interests with those of its stockholders.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the Company’s director compensation program was amended to provide for the following cash and equity retainers:</w:t>
      </w:r>
    </w:p>
    <w:p>
      <w:pPr>
        <w:spacing w:after="0" w:line="67" w:lineRule="exact"/>
        <w:rPr>
          <w:sz w:val="20"/>
          <w:szCs w:val="20"/>
          <w:color w:val="auto"/>
        </w:rPr>
      </w:pPr>
    </w:p>
    <w:p>
      <w:pPr>
        <w:ind w:left="1080" w:right="1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members of the Company’s board of directors (or $70,000 for the chair of the Company’s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$7,500 for service on the audit committee (or $15,000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$5,000 for service on the compensation committee (or $10,000 for service as chair of the compensation committee);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$5,000 for service on the science and technology committee (or $10,000 for service as chair of the science and technology committee);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$4,000 for service on the nominating and corporate governance committee (or $8,000 for service as chair of the nominating and corporate governance committee);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grant of 6,500 stock options, commencing in connection with the Merger with the next annual equity grant to occur in connection with the Company’s 2024 annual shareholder meeting, in each case, subject to one-year cliff vesting on the earlier of the next annual shareholder meeting or the first anniversary of the date of grant;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equity grant of 13,000 stock options in connection with a director’s appointment to the Company’s board of directors, subject to vesting on the third anniversary of the date of grant.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82"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December 11, 2023 by:</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thus represents voting or investment power with respect to our securities. Under such rules, beneficial ownership includes any shares over which the individual has sole or shared voting power or investment power as well as any shares that the individual has the right to acquire within 60 days of December 11, 2023. Shares of our Common Stock that an individual has the right to acquire within 60 days of December 11, 2023 are deemed to be outstanding and beneficially owned by the individual for the purpose of computing the percentage ownership of that individual, but they are not treated as outstanding for the purpose of computing the percentage ownership of any other person. To our knowledge and subject to applicable community property rules, and except as otherwise indicated below, the persons and entities named in the table have sole voting and sole investment power with respect to all shares beneficially owned.</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shown in the table below is based on a total of 14,817,696 shares of our Common Stock outstanding as of December 11, 2023.</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is c/o Dianthus Therapeutics, Inc., 7 Times Square, 43rd Floor New York, NY 10036.</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30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04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Outstanding</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gridSpan w:val="3"/>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2620" w:type="dxa"/>
            <w:vAlign w:val="bottom"/>
          </w:tcPr>
          <w:p>
            <w:pPr>
              <w:spacing w:after="0"/>
              <w:rPr>
                <w:sz w:val="13"/>
                <w:szCs w:val="13"/>
                <w:color w:val="auto"/>
              </w:rPr>
            </w:pPr>
          </w:p>
        </w:tc>
        <w:tc>
          <w:tcPr>
            <w:tcW w:w="2040" w:type="dxa"/>
            <w:vAlign w:val="bottom"/>
            <w:gridSpan w:val="2"/>
          </w:tcPr>
          <w:p>
            <w:pPr>
              <w:jc w:val="center"/>
              <w:ind w:right="9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4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0"/>
        </w:trPr>
        <w:tc>
          <w:tcPr>
            <w:tcW w:w="4920" w:type="dxa"/>
            <w:vAlign w:val="bottom"/>
            <w:gridSpan w:val="4"/>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(1)</w:t>
            </w:r>
          </w:p>
        </w:tc>
        <w:tc>
          <w:tcPr>
            <w:tcW w:w="26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4"/>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2,218,212</w:t>
            </w:r>
          </w:p>
        </w:tc>
        <w:tc>
          <w:tcPr>
            <w:tcW w:w="92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Fairmount</w:t>
            </w:r>
            <w:r>
              <w:rPr>
                <w:rFonts w:ascii="Times New Roman" w:cs="Times New Roman" w:eastAsia="Times New Roman" w:hAnsi="Times New Roman"/>
                <w:sz w:val="25"/>
                <w:szCs w:val="25"/>
                <w:color w:val="auto"/>
                <w:vertAlign w:val="superscript"/>
              </w:rPr>
              <w:t>(2)</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1,928,503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5AM Ventures</w:t>
            </w:r>
            <w:r>
              <w:rPr>
                <w:rFonts w:ascii="Times New Roman" w:cs="Times New Roman" w:eastAsia="Times New Roman" w:hAnsi="Times New Roman"/>
                <w:sz w:val="25"/>
                <w:szCs w:val="25"/>
                <w:color w:val="auto"/>
                <w:vertAlign w:val="superscript"/>
              </w:rPr>
              <w:t>(3)</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1,482,660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Tellus BioVentures, LLC</w:t>
            </w:r>
            <w:r>
              <w:rPr>
                <w:rFonts w:ascii="Times New Roman" w:cs="Times New Roman" w:eastAsia="Times New Roman" w:hAnsi="Times New Roman"/>
                <w:sz w:val="25"/>
                <w:szCs w:val="25"/>
                <w:color w:val="auto"/>
                <w:vertAlign w:val="superscript"/>
              </w:rPr>
              <w:t>(4)</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1,270,078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Avidity</w:t>
            </w:r>
            <w:r>
              <w:rPr>
                <w:rFonts w:ascii="Times New Roman" w:cs="Times New Roman" w:eastAsia="Times New Roman" w:hAnsi="Times New Roman"/>
                <w:sz w:val="25"/>
                <w:szCs w:val="25"/>
                <w:color w:val="auto"/>
                <w:vertAlign w:val="superscript"/>
              </w:rPr>
              <w:t>(5)</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1,217,554</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Viridian, LLC</w:t>
            </w:r>
            <w:r>
              <w:rPr>
                <w:rFonts w:ascii="Times New Roman" w:cs="Times New Roman" w:eastAsia="Times New Roman" w:hAnsi="Times New Roman"/>
                <w:sz w:val="25"/>
                <w:szCs w:val="25"/>
                <w:color w:val="auto"/>
                <w:vertAlign w:val="superscript"/>
              </w:rPr>
              <w:t>(6)</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1,090,283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Venrock</w:t>
            </w:r>
            <w:r>
              <w:rPr>
                <w:rFonts w:ascii="Times New Roman" w:cs="Times New Roman" w:eastAsia="Times New Roman" w:hAnsi="Times New Roman"/>
                <w:sz w:val="25"/>
                <w:szCs w:val="25"/>
                <w:color w:val="auto"/>
                <w:vertAlign w:val="superscript"/>
              </w:rPr>
              <w:t>(7)</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927,706</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Marino Garcia</w:t>
            </w:r>
            <w:r>
              <w:rPr>
                <w:rFonts w:ascii="Times New Roman" w:cs="Times New Roman" w:eastAsia="Times New Roman" w:hAnsi="Times New Roman"/>
                <w:sz w:val="25"/>
                <w:szCs w:val="25"/>
                <w:color w:val="auto"/>
                <w:vertAlign w:val="superscript"/>
              </w:rPr>
              <w:t>(8)</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275,531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Simrat Randhawa</w:t>
            </w:r>
            <w:r>
              <w:rPr>
                <w:rFonts w:ascii="Times New Roman" w:cs="Times New Roman" w:eastAsia="Times New Roman" w:hAnsi="Times New Roman"/>
                <w:sz w:val="25"/>
                <w:szCs w:val="25"/>
                <w:color w:val="auto"/>
                <w:vertAlign w:val="superscript"/>
              </w:rPr>
              <w:t>(9)</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45,989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Savitz</w:t>
            </w:r>
            <w:r>
              <w:rPr>
                <w:rFonts w:ascii="Times New Roman" w:cs="Times New Roman" w:eastAsia="Times New Roman" w:hAnsi="Times New Roman"/>
                <w:sz w:val="25"/>
                <w:szCs w:val="25"/>
                <w:color w:val="auto"/>
                <w:vertAlign w:val="superscript"/>
              </w:rPr>
              <w:t>(10)</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49,385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Leon O. Moulder, Jr.</w:t>
            </w:r>
            <w:r>
              <w:rPr>
                <w:rFonts w:ascii="Times New Roman" w:cs="Times New Roman" w:eastAsia="Times New Roman" w:hAnsi="Times New Roman"/>
                <w:sz w:val="25"/>
                <w:szCs w:val="25"/>
                <w:color w:val="auto"/>
                <w:vertAlign w:val="superscript"/>
              </w:rPr>
              <w:t>(4)</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1,270,078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Paula Soteropoulos</w:t>
            </w:r>
            <w:r>
              <w:rPr>
                <w:rFonts w:ascii="Times New Roman" w:cs="Times New Roman" w:eastAsia="Times New Roman" w:hAnsi="Times New Roman"/>
                <w:sz w:val="25"/>
                <w:szCs w:val="25"/>
                <w:color w:val="auto"/>
                <w:vertAlign w:val="superscript"/>
              </w:rPr>
              <w:t>(11)</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12,598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Tomas Kiselak</w:t>
            </w:r>
            <w:r>
              <w:rPr>
                <w:rFonts w:ascii="Times New Roman" w:cs="Times New Roman" w:eastAsia="Times New Roman" w:hAnsi="Times New Roman"/>
                <w:sz w:val="25"/>
                <w:szCs w:val="25"/>
                <w:color w:val="auto"/>
                <w:vertAlign w:val="superscript"/>
              </w:rPr>
              <w:t>(2)</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1,928,503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Violin</w:t>
            </w:r>
          </w:p>
        </w:tc>
        <w:tc>
          <w:tcPr>
            <w:tcW w:w="26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Lei Meng</w:t>
            </w:r>
          </w:p>
        </w:tc>
        <w:tc>
          <w:tcPr>
            <w:tcW w:w="2620" w:type="dxa"/>
            <w:vAlign w:val="bottom"/>
          </w:tcPr>
          <w:p>
            <w:pPr>
              <w:spacing w:after="0"/>
              <w:rPr>
                <w:sz w:val="18"/>
                <w:szCs w:val="18"/>
                <w:color w:val="auto"/>
              </w:rPr>
            </w:pPr>
          </w:p>
        </w:tc>
        <w:tc>
          <w:tcPr>
            <w:tcW w:w="20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Alison F. Lawton</w:t>
            </w:r>
            <w:r>
              <w:rPr>
                <w:rFonts w:ascii="Times New Roman" w:cs="Times New Roman" w:eastAsia="Times New Roman" w:hAnsi="Times New Roman"/>
                <w:sz w:val="25"/>
                <w:szCs w:val="25"/>
                <w:color w:val="auto"/>
                <w:vertAlign w:val="superscript"/>
              </w:rPr>
              <w:t>(12)</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7,926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Anne McGeorge</w:t>
            </w:r>
            <w:r>
              <w:rPr>
                <w:rFonts w:ascii="Times New Roman" w:cs="Times New Roman" w:eastAsia="Times New Roman" w:hAnsi="Times New Roman"/>
                <w:sz w:val="25"/>
                <w:szCs w:val="25"/>
                <w:color w:val="auto"/>
                <w:vertAlign w:val="superscript"/>
              </w:rPr>
              <w:t>(13)</w:t>
            </w:r>
          </w:p>
        </w:tc>
        <w:tc>
          <w:tcPr>
            <w:tcW w:w="46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5,798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executive officers and directors as a group (12 persons)</w:t>
            </w:r>
            <w:r>
              <w:rPr>
                <w:rFonts w:ascii="Times New Roman" w:cs="Times New Roman" w:eastAsia="Times New Roman" w:hAnsi="Times New Roman"/>
                <w:sz w:val="25"/>
                <w:szCs w:val="25"/>
                <w:color w:val="auto"/>
                <w:vertAlign w:val="superscript"/>
              </w:rPr>
              <w:t>(14)</w:t>
            </w:r>
          </w:p>
        </w:tc>
        <w:tc>
          <w:tcPr>
            <w:tcW w:w="466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3,637,797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148"/>
        </w:trPr>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700" w:type="dxa"/>
            <w:vAlign w:val="bottom"/>
            <w:gridSpan w:val="2"/>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Less than 1%.</w:t>
            </w:r>
          </w:p>
        </w:tc>
        <w:tc>
          <w:tcPr>
            <w:tcW w:w="2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8" w:lineRule="auto"/>
        <w:tabs>
          <w:tab w:leader="none" w:pos="5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our Common Stock listed in the table above are held by funds and accounts managed by direct or indirect subsidiaries of FMR LLC. These shares are beneficially owned, or may be deemed to be beneficially owned,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FMR LLC is 245 Summer Street, Boston, MA 02210.</w:t>
      </w:r>
    </w:p>
    <w:p>
      <w:pPr>
        <w:ind w:left="540" w:right="20" w:hanging="424"/>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62,146 shares of our Common Stock held by Fairmount SPV III, LLC (“Fairmount SPV”), (ii) 58,857 shares of our Common Stock held by Fairmount Healthcare Fund L.P. (“Fairmount HF”) and (iii) 1,807,500 shares of our Common Stock held by Fairmount Healthcare Fund II L.P. (“Fairmount HF II,” and, together with Fairmount SPV and Fairmount HF, the “Fairmount Funds”). Fairmount Funds Management LLC (“Fairmount”) is the Class A Member of Fairmount SPV. Fairmount has voting and dispositive power over the shares held by Fairmount Funds. Fairmount is the investment manager for Fairmount HF and Fairmount HF II and is the Class A Member for Fairmount SPV. The general partner of Fairmount is Fairmount Funds Management GP LLC (“Fairmount GP”), of which Peter Harwin and Tomas Kiselak are the managing members. Fairmount, Fairmount GP, Mr. Harwin, and Mr. Kiselak disclaim beneficial ownership of any of the reported securities, except to the extent of their pecuniary interest therein. The principal business address of each of the foregoing entities or persons is 200 Barr Harbor Drive, Suite 400, West Conshohocken, Pennsylvania 19428.</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430,776 shares of our Common Stock and 2,599 shares of our Common Stock issuable upon the exercise of Pre-Funded Warrants held by 5AM Opportunities II, L.P. (“5AM Opportunities”) and (ii) 1,041,488 shares of our Common Stock and 7,797 shares of our Common Stock issuable upon the exercise of Pre-Funded Warrants held by 5AM Ventures VII, L.P. (“5AM Ventures VII” and, together with 5AM Opportunities, the “5AM Selling Stockholders”). 5AM Partners VII, LLC (“Ventures GP”) is the sole general partner of 5AM Ventures VII and may be deemed to have sole investment and voting power over the shares held by 5AM Ventures VII. 5AM Opportunities II (GP), LLC (“Opportunities GP”) is the sole general partner of 5AM Opportunities and may be deemed to have sole investment and voting power over the shares held by 5AM Opportunities. Andrew Schwab and Kush Parmar are the managing members of each of Ventures GP and Opportunities GP and may be deemed to share voting and dispositive power over the shares held by 5AM Ventures VII and 5AM Opportunities. Each of Ventures GP, Opportunities GP, Kush Parmar and Andrew Schwab disclaims beneficial ownership of such shares, except to the extent of his respective pecuniary interest therein. Pursuant to the terms of the Pre-Funded Warrants, each of 5AM Opportunities and 5AM Ventures VII may not exercise any portion of any Pre-Funded Warrant, which, upon giving effect to such exercise, would cause it (together with its affiliates) to own more than 9.9999% of the number of shares of our Common Stock outstanding immediately after giving effect to such exercise, as such percentage ownership is determined in accordance with the terms of the Pre-Funded Warrants. However, each of the 5AM Selling Stockholders may increase or decrease such percentage to any other percentage not in excess of 9.9999%, provided that (i) any increase in such percentage shall not be effective until 61 days after such notice is delivered to us and (ii) any such increase or decrease will apply only to the holder of each specific Pre-Funded Warrant and not to any other holder of Pre-Funded Warrants. The address of each of the foregoing persons is c/o 5AM Ventures, 501 2nd Street, Suite 350, San Francisco, CA 94107.</w:t>
      </w:r>
    </w:p>
    <w:p>
      <w:pPr>
        <w:spacing w:after="0" w:line="6" w:lineRule="exact"/>
        <w:rPr>
          <w:rFonts w:ascii="Times New Roman" w:cs="Times New Roman" w:eastAsia="Times New Roman" w:hAnsi="Times New Roman"/>
          <w:sz w:val="18"/>
          <w:szCs w:val="18"/>
          <w:color w:val="auto"/>
        </w:rPr>
      </w:pPr>
    </w:p>
    <w:p>
      <w:pPr>
        <w:ind w:left="540" w:right="280" w:hanging="424"/>
        <w:spacing w:after="0" w:line="253"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1,270,078 shares of our Common Stock held by Tellus BioVentures. Leon O. Moulder, Jr., is the sole managing member of Tellus BioVentures and may be deemed to have sole voting and dispositive power over the shares held by Tellus BioVentures. Mr. Moulder disclaims beneficial ownership of such shares, except to the extent of his pecuniary interest therein. The principal business address of Tellus BioVentures and Mr. Moulder is 10520 Trevi Isle Way, Miromar Lakes, FL 33913.</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691,033 shares of our Common Stock held by Avidity Private Master Fund I LP (“APMF”), (ii) 465,117 shares of our Common Stock held by Avidity Master Fund LP (“AMF”) and (iii) 61,404 shares of our Common Stock held by Avidity Capital Fund II LP (“ACF,” and, together with APMF and AMF, the “Avidity Funds”). The general partner of each of the Avidity Funds is Avidity Capital Partners Fund (GP) LP, whose general partner is Avidity Capital Partners (GP) LLC. Avidity Partners Management LP is the investment manager of each of the Avidity Funds. Avidity Partners Management (GP) LLC is the general partner of Avidity Partners Management LP. David Witzke and Michael Gregory are the managing members of Avidity Capital Partners (GP) LLC and Avidity Partners Management (GP) LLC. Mr. Witzke and Mr. Gregory may be deemed to have shared voting and investment power over the shares held by each of the Avidity Funds. Each of Mr. Witzke and Mr. Gregory disclaim beneficial ownership of such shares, except to the extent of his respective pecuniary interest therein. The principal business address of each of the foregoing persons is 2828 N. Harwood Street, Suite 1220, Dallas, TX 75201.</w:t>
      </w:r>
    </w:p>
    <w:p>
      <w:pPr>
        <w:spacing w:after="0" w:line="6"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1,090,283 shares of our Common Stock held by Viridian, LLC (“Viridian”). Viridian has sole voting and dispositive power over the shares, and no individual or other entity is deemed to hold any beneficial ownership in the shares. The principal business address of Viridian is 221 Crescent Street, Suite 401, Waltham, MA 02453.</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589,537 shares of Common Stock held by Venrock Healthcare Capital Partners EG, L.P. (“VHCP EG”), (ii) 307,439 shares of Common Stock held by Venrock Healthcare Capital Partners III, L.P. (“VHCP III”) and (iii) 30,730 shares of Common Stock held by VHCP Co-Investment Holdings III, LLC (“VCHP Co-III” and, together with VHCP EG and VHCP III, the “Venrock Funds”). VHCP Management EG, LLC (“VHCPM EG”) is the sole general partner of VHCP EG. VHCP Management III, LLC (“VHCPM III”) is the sole general partner of VHCP III and the sole manager of VHCP Co-III. Dr. Bong Koh and Nimish Shah are the voting members of VHCPM III and VHCPM EG. The principal business address of each of the foregoing persons is 7 Bryant Park, 23rd Floor, New York, New York 10018.</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275,531 shares of our Common Stock that are exercisable within 60 days of December 11, 2023.</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4,000 shares of our Common Stock and (ii) options to purchase 41,989 shares of our Common Stock that are exercisable within 60 days of December 11, 2023.</w:t>
      </w: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49,385 shares of our Common Stock that are exercisable within 60 days of December 11,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12,598 shares of our Common Stock that are exercisable within 60 days of December 11,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7,926 shares of our Common Stock that are exercisable within 60 days of December 11,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5,798 shares of our Common Stock that are exercisable within 60 days of December 11, 2023.</w:t>
      </w:r>
    </w:p>
    <w:p>
      <w:pPr>
        <w:spacing w:after="0" w:line="9"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3,202,581 shares of our Common Stock and (ii) options to purchase 435,216 shares of our Common Stock that are exercisable within 60 days of December 11, 2023.</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Magenta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Advisory Services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2021 and 2022, Magenta made payments for advisory and related services from Be the Match BioTherapies Collection Services, LLC (f/k/a Be the Match BioTherapies, LLC) (“BTMB”) and its affiliates, including National Marrow Donor Program (“NMDP”) in the amount of $495,049 and $497,858, respectively. Magenta had collaboration agreements with NMDP (as successor in interest to BTMB) which expired in December 2022, and research agreements in 2018 and 2020 with an affiliated organization, Center for International Blood and Marrow Transplant Research for work that has been completed. In addition, in June 2020, Magenta entered into a clinical collaboration agreement with NMDP/Be The Match to evaluate the potential utility of MGTA-145 for mobilizing and collecting hematopoietic stem cells from donors in a single day and then using them for allogeneic transplant in patients. Under the terms of this agreement, Magenta was obligated to fund up to 50% of NMDP/Be The Match clinical trial costs and provide the trial drugs to be included in research and development expense. The clinical collaboration was discontinued in the first quarter of 2023. Amy Lynn Ronneberg was formerly the president of BTMB, and she is the Chief Executive Officer of NMDP and was a member of Magenta’s board of directors. These fees were paid to BTMB and its affiliates pursuant to the aforementioned agreements in amounts mutually agreed upon in advance by Magenta and BTMB. None of these fees were paid directly to Ms. Ronneberg. The fees paid to BTMB did not exceed 5% of the consolidated gross revenue of BTMB (or NMDP) during fiscal years 2021 and 2022.</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ImmunoGen</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Dr. Michael Vasconcelles joined Magenta’s board of directors on August 15, 2022, and he joined ImmunoGen as Executive Vice President of Research, Development, and Medical Affairs on December 29, 2022. During the years ended December 31, 2021 and 2022, Magenta made payments of approximately $1.6 million and $4.5 million, respectively, to ImmunoGen pursuant to a license agreement. None of these fees were paid directly to Dr. Vasconcelles. The fees paid to ImmunoGen did not exceed 5% of the consolidated gross revenue of ImmunoGen during fiscal years 2022 and 2021.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Magenta previously entered into agreements to indemnify its directors and executive officers. These agreements, among other things, required Magenta to indemnify these individuals for certain expenses (including attorneys’ fees), judgments, fines and settlement amounts reasonably incurred by such person in any action or proceeding, including any action by or in Magenta’s right, on account of any services undertaken by such person on behalf of Magenta or that person’s status as a member of Magenta’s board of directors to the maximum extent allowed under Delaware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Dianthus and Former Dianthus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 of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Seed-2 Preferred Stock Financing</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May 2021, Former Dianthus completed a preferred stock financing and issued and sold an aggregate of 3,829,265 shares of Series Seed-2 Preferred Stock at a purchase price of $3.9172 per share for aggregate gross proceeds of approximately $15 million. The following table summarizes purchases of Former Dianthus’ Series Seed-2 preferred stock by related persons: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 Seed 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320" w:type="dxa"/>
            <w:vAlign w:val="bottom"/>
            <w:vMerge w:val="restart"/>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Fairmount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1,531,706</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Venrock</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1,531,706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Tellus BioVentures, LLC</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765,853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2,999,999</w:t>
            </w:r>
          </w:p>
        </w:tc>
        <w:tc>
          <w:tcPr>
            <w:tcW w:w="0" w:type="dxa"/>
            <w:vAlign w:val="bottom"/>
          </w:tcPr>
          <w:p>
            <w:pPr>
              <w:spacing w:after="0"/>
              <w:rPr>
                <w:sz w:val="1"/>
                <w:szCs w:val="1"/>
                <w:color w:val="auto"/>
              </w:rPr>
            </w:pPr>
          </w:p>
        </w:tc>
      </w:tr>
      <w:tr>
        <w:trPr>
          <w:trHeight w:val="432"/>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Such information has not been adjusted to reflect the effects of the Reverse Stock Split.</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 Financing</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April 2022, Former Dianthus completed a preferred stock financing and issued and sold an aggregate of 23,007,017 shares of Series A Preferred Stock at a purchase price of $4.3465 per share for aggregate gross proceeds of approximately $100 million. The following table summarizes purchases of Former Dianthus’ Series A Preferred Stock by related persons: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400" w:type="dxa"/>
            <w:vAlign w:val="bottom"/>
            <w:vMerge w:val="restart"/>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5AM Ventures</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5,751,753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Avidity</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4,601,403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19,999,998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Fairmount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3,451,051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14,999,993</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5,602,210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24,350,006</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Venrock</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1,610,490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6,999,995</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Tellus BioVentures, LLC</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264,583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1,150,010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J. Moulder and Meghan M. Moulder</w:t>
            </w:r>
            <w:r>
              <w:rPr>
                <w:rFonts w:ascii="Times New Roman" w:cs="Times New Roman" w:eastAsia="Times New Roman" w:hAnsi="Times New Roman"/>
                <w:sz w:val="25"/>
                <w:szCs w:val="25"/>
                <w:color w:val="auto"/>
                <w:vertAlign w:val="superscript"/>
              </w:rPr>
              <w:t>(1)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249,998</w:t>
            </w:r>
          </w:p>
        </w:tc>
        <w:tc>
          <w:tcPr>
            <w:tcW w:w="0" w:type="dxa"/>
            <w:vAlign w:val="bottom"/>
          </w:tcPr>
          <w:p>
            <w:pPr>
              <w:spacing w:after="0"/>
              <w:rPr>
                <w:sz w:val="1"/>
                <w:szCs w:val="1"/>
                <w:color w:val="auto"/>
              </w:rPr>
            </w:pPr>
          </w:p>
        </w:tc>
      </w:tr>
      <w:tr>
        <w:trPr>
          <w:trHeight w:val="355"/>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E. Bartlett</w:t>
            </w:r>
            <w:r>
              <w:rPr>
                <w:rFonts w:ascii="Times New Roman" w:cs="Times New Roman" w:eastAsia="Times New Roman" w:hAnsi="Times New Roman"/>
                <w:sz w:val="26"/>
                <w:szCs w:val="26"/>
                <w:color w:val="auto"/>
                <w:vertAlign w:val="superscript"/>
              </w:rPr>
              <w:t>(2)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249,998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 Moulder and Meghan M. Moulder are immediate family members of Leon O. Moulder, Jr., director and chair of Former Dianthus.</w:t>
      </w:r>
    </w:p>
    <w:p>
      <w:pPr>
        <w:spacing w:after="0" w:line="27" w:lineRule="exact"/>
        <w:rPr>
          <w:rFonts w:ascii="Times New Roman" w:cs="Times New Roman" w:eastAsia="Times New Roman" w:hAnsi="Times New Roman"/>
          <w:sz w:val="18"/>
          <w:szCs w:val="18"/>
          <w:color w:val="auto"/>
        </w:rPr>
      </w:pPr>
    </w:p>
    <w:p>
      <w:pPr>
        <w:ind w:left="560" w:right="2280" w:hanging="444"/>
        <w:spacing w:after="0" w:line="511" w:lineRule="auto"/>
        <w:tabs>
          <w:tab w:leader="none" w:pos="5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E. Bartlett is an immediate family member of Leon O. Moulder, Jr., director and chair of Former Dianthus. Such information has not been adjusted to reflect the effects of the Reverse Stock Split.</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Dianthus Pre-Closing Financing</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May 2, 2023, in connection with the execution of the Merger Agreement, Former Dianthus entered into the Subscription Agreement with certain investors to consummate the OpCo pre-closing financing. Pursuant to the Subscription Agreement, immediately prior to the effective time of the Merger, Former Dianthus issued and sold, and the investors purchased, (i) 2,873,988 shares of Former Dianthus common stock and (ii) 210,320 pre-funded warrants, exercisable for 210,320 shares of Former Dianthus common stock, at a purchase price of</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82"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approximately $23.34 per share or $23.34 per warrant, for an aggregate purchase price of approximately $72.0 million. Six of the investors or their affiliates were beneficial holders of more than 5% of Former Dianthus’ capital stock, and the table below sets forth the number of shares of Former Dianthus common stock purchased by such holders at the closing of the OpCo pre-closing financing.</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20" w:type="dxa"/>
            <w:vAlign w:val="bottom"/>
          </w:tcPr>
          <w:p>
            <w:pPr>
              <w:jc w:val="center"/>
              <w:ind w:left="1417"/>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320" w:type="dxa"/>
            <w:vAlign w:val="bottom"/>
          </w:tcPr>
          <w:p>
            <w:pPr>
              <w:spacing w:after="0"/>
              <w:rPr>
                <w:sz w:val="13"/>
                <w:szCs w:val="13"/>
                <w:color w:val="auto"/>
              </w:rPr>
            </w:pPr>
          </w:p>
        </w:tc>
        <w:tc>
          <w:tcPr>
            <w:tcW w:w="9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20" w:type="dxa"/>
            <w:vAlign w:val="bottom"/>
          </w:tcPr>
          <w:p>
            <w:pPr>
              <w:jc w:val="center"/>
              <w:ind w:left="1417"/>
              <w:spacing w:after="0" w:line="149" w:lineRule="exact"/>
              <w:rPr>
                <w:sz w:val="20"/>
                <w:szCs w:val="20"/>
                <w:color w:val="auto"/>
              </w:rPr>
            </w:pPr>
            <w:r>
              <w:rPr>
                <w:rFonts w:ascii="Times New Roman" w:cs="Times New Roman" w:eastAsia="Times New Roman" w:hAnsi="Times New Roman"/>
                <w:sz w:val="14"/>
                <w:szCs w:val="14"/>
                <w:b w:val="1"/>
                <w:bCs w:val="1"/>
                <w:color w:val="auto"/>
              </w:rPr>
              <w:t>Dianthus</w:t>
            </w: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20" w:type="dxa"/>
            <w:vAlign w:val="bottom"/>
          </w:tcPr>
          <w:p>
            <w:pPr>
              <w:jc w:val="center"/>
              <w:ind w:left="1417"/>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320" w:type="dxa"/>
            <w:vAlign w:val="bottom"/>
          </w:tcPr>
          <w:p>
            <w:pPr>
              <w:spacing w:after="0"/>
              <w:rPr>
                <w:sz w:val="12"/>
                <w:szCs w:val="12"/>
                <w:color w:val="auto"/>
              </w:rPr>
            </w:pPr>
          </w:p>
        </w:tc>
        <w:tc>
          <w:tcPr>
            <w:tcW w:w="9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620" w:type="dxa"/>
            <w:vAlign w:val="bottom"/>
          </w:tcPr>
          <w:p>
            <w:pPr>
              <w:jc w:val="center"/>
              <w:ind w:left="14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Dianthus</w:t>
            </w:r>
          </w:p>
        </w:tc>
        <w:tc>
          <w:tcPr>
            <w:tcW w:w="320" w:type="dxa"/>
            <w:vAlign w:val="bottom"/>
          </w:tcPr>
          <w:p>
            <w:pPr>
              <w:spacing w:after="0"/>
              <w:rPr>
                <w:sz w:val="16"/>
                <w:szCs w:val="16"/>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5AM Ventures VII, L.P.</w:t>
            </w:r>
          </w:p>
        </w:tc>
        <w:tc>
          <w:tcPr>
            <w:tcW w:w="26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218,056</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210,320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Avidity</w:t>
            </w:r>
          </w:p>
        </w:tc>
        <w:tc>
          <w:tcPr>
            <w:tcW w:w="26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214,188</w:t>
            </w:r>
          </w:p>
        </w:tc>
        <w:tc>
          <w:tcPr>
            <w:tcW w:w="1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Fairmount</w:t>
            </w:r>
          </w:p>
        </w:tc>
        <w:tc>
          <w:tcPr>
            <w:tcW w:w="26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670,910</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15,661,667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26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996,616</w:t>
            </w:r>
          </w:p>
        </w:tc>
        <w:tc>
          <w:tcPr>
            <w:tcW w:w="1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23,265,000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Venrock</w:t>
            </w:r>
          </w:p>
        </w:tc>
        <w:tc>
          <w:tcPr>
            <w:tcW w:w="26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242,532</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5,661,667</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Tellus BioVentures, LLC</w:t>
            </w:r>
          </w:p>
        </w:tc>
        <w:tc>
          <w:tcPr>
            <w:tcW w:w="26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39,054</w:t>
            </w:r>
          </w:p>
        </w:tc>
        <w:tc>
          <w:tcPr>
            <w:tcW w:w="1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911,673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with Former Dianthus Stockholders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Former Dianthus’ Series A Preferred Stock financing, Former Dianthus entered into amended and restated investors’ rights, voting and right of first refusal and co-sale agreements containing registration rights, information rights, voting rights and rights of first refusal, among other things, with certain holders of Former Dianthus preferred stock and certain holders of Former Dianthus common stock. These stockholder agreements were terminated or no longer effective upon the closing of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of Former Dianthus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Ms. Soteropoulos received compensation for service on the Former Dianthus board of directors during fiscal 2022 in the amount of $202,396, consisting of $22,500 in cash and $179,896 in option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2020, we entered into an option agreement with Zenas BioPharma (“Zenas Option”), under which we agreed to grant Zenas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BioPharma an exclusive option for an exclusive license under certain patents and know-how with respect to antibody sequences generated in a research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program directed towards the research of monoclonal antibody antagonists targeting certain specific complement proteins. In consideration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grant, we were issued Zenas BioPharma common stock equivalent to one percent of its shares outstanding prior to a Series A financing.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10, 2022, in connection with Zenas BioPharma’s exercise of the option, we entered into a license agreement with Zenas BioPharma (the “Zenas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License Agreement,” and together with the Zenas Option, the “Zenas Agreements”), under which we granted Zenas BioPharma an exclusive,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sublicensable license under certain patents and know-how to research, develop, manufacture, and commercialize monoclonal antibody antagonists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targeting certain specific complement proteins. The Zenas Agreements were negotiated with a single commercial objective and are treated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combined contract for accounting purposes. For the years ended December 31, 2022 and 2021, we recognized related party license revenue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$6.4 million and $1.5 million, respectively, associated with the Zenas Agreements. As of December 31, 2022, we recorded a related party receivable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$4.7 million, unbilled related party receivable of $0.9 million, current deferred related party revenue of $0.1 million and noncurrent deferred related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 revenue of $0.8 million on our balance sheet. For the three and nine months ended September 30, 2023, we recognized related party license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revenue totaling $0.9 million and $2.4 million, respectively, associated with the Zenas Agreements. For the three and nine months ended September 30,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we recognized related party license revenue totaling $1.2 million and $5.2 million, respectively, associated with the Zenas Agreements.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2023, we recorded a related party receivable of $0.2 million, unbilled related party receivable of $0.5 million, current deferred related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 revenue of $0.1 million and noncurrent deferred related party revenue of $0.7 million on our balance sheet.</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40"/>
          </w:cols>
          <w:pgMar w:left="320" w:top="482" w:right="5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Zenas Agreements may be considered related party transactions because (i) Fairmount beneficially owns more than 5% of our Common Stock, has one seat on the Board of Directors and is also a 5% or greater stockholder of Zenas BioPharma and has a seat on Zenas BioPharma’s board of directors and (ii) Tellus BioVentures beneficially owns more than 5% of our Common Stock, has one seat on the Board of Directors and is also a 5% or greater stockholder of Zenas BioPharma and has a seat on Zenas BioPharma’s board of directors. Mr. Moulder may be deemed to beneficially own the shares held by Tellus BioVentures. Mr. Moulder also serves as Chief Executive Officer and Chairman of the board of directors of Zenas BioPharma. The Zenas Agreements were negotiated on an arm’s-length basis and are market rate transactions on terms that the Company believes are no less favorable than would have been reached with an unrelated third party.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March 13, 2023, Fairmount Healthcare Fund LP and Fairmount Healthcare Fund II LP issued promissory notes in the aggregate principal amount of $376,770 to Former Dianthus at an interest rate of 4.5% per annum. On March 15, 2023, Former Dianthus repaid principal and interest in the amount of $376,862 to Fairmount Healthcare Fund LP and Fairmount Healthcare Fund II LP in satisfaction of its obligations under the promissory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11, 2023, the Company, Former Dianthus and the Selling Stockholders entered into the Registration Rights Agreement pursuant to which, among other things, the Company agreed to provide for the registration and resale of certain shares of Common Stock that are held by the Selling Stockholders from time to time, including the shares of Common Stock issued in exchange for shares of common stock of Former Dianthus sold in the pre-closing financing and the shares of Common Stock issuable upon exercise of the Pre-Funded Warrants assumed upon conversion of the pre-funded warrants of Former Dianthus sold in the pre-closing financing. See the section titled “</w:t>
      </w:r>
      <w:r>
        <w:rPr>
          <w:rFonts w:ascii="Times New Roman" w:cs="Times New Roman" w:eastAsia="Times New Roman" w:hAnsi="Times New Roman"/>
          <w:sz w:val="18"/>
          <w:szCs w:val="18"/>
          <w:i w:val="1"/>
          <w:iCs w:val="1"/>
          <w:color w:val="auto"/>
        </w:rPr>
        <w:t>Description of Capital Stock—Registration Rights Agreement</w:t>
      </w:r>
      <w:r>
        <w:rPr>
          <w:rFonts w:ascii="Times New Roman" w:cs="Times New Roman" w:eastAsia="Times New Roman" w:hAnsi="Times New Roman"/>
          <w:sz w:val="18"/>
          <w:szCs w:val="18"/>
          <w:color w:val="auto"/>
        </w:rPr>
        <w:t>” located elsewhere in this prospectus for further information on the Registration Rights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Dianthus Indemnification Agreements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Former Dianthus entered into an indemnification agreement with each of its directors and purchased directors’ and officers’ liability insurance. The indemnification agreements required Former Dianthus to indemnify its directors to the fullest extent permitted under Delaware law.</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Immediately following the closing of the Merger, we entered into agreements,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us or that person’s status as a member of the Board of Directors to the maximum extent allowed under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Immediately following the closing of the Merger, the Board of Directors adopted a written policy regarding the review and approval or ratification by our Audit Committee of related person transactions. For purposes of our policy only, a related person transaction is a transaction, arrangement or relationship or any series of similar transactions, arrangements or relationships between us or any of our subsidiaries and any related person in which the aggregate amount involved since the beginning of the Company’s last completed fiscal year exceeds or is expected to exceed $100,000 and such related person has or will have a direct or indirect interest. A related person is defined to include any executive officers, directors or director nominees or beneficial owner of more than 5% of our Common Stock and any immediate family member of any of the foregoing persons. In determining to approve or ratify any such transaction, our Audit Committee is expected to take into account, among other factors it deems appropriate, whether the transaction is on terms no less favorable than terms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generally available to an unaffiliated third-party under the same or similar circumstances and the extent of the related persons interest in the transaction. Transactions involving compensation for services provided to us as an employee or director, among other limited exceptions, are deemed under the terms of the policy to have standing pre-approval by the Audit Committee but may be specifically reviewed if appropriate in light of the facts and circumstances. Any director who is a related person with respect to a transaction under review is not permitted to participate in the deliberations (other than to provide information concerning the transaction to the Audit Committee) or vote on approval of the transaction.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40"/>
          </w:cols>
          <w:pgMar w:left="320" w:top="482" w:right="5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issuances of those shares of Common Stock being registered for resale in this registration statement, see “</w:t>
      </w:r>
      <w:r>
        <w:rPr>
          <w:rFonts w:ascii="Times New Roman" w:cs="Times New Roman" w:eastAsia="Times New Roman" w:hAnsi="Times New Roman"/>
          <w:sz w:val="18"/>
          <w:szCs w:val="18"/>
          <w:i w:val="1"/>
          <w:iCs w:val="1"/>
          <w:color w:val="auto"/>
        </w:rPr>
        <w:t>Business Combination of Dianthus and OpCo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Private Placement of Shares of Common Stock and Pre-Funded Warrants</w:t>
      </w:r>
      <w:r>
        <w:rPr>
          <w:rFonts w:ascii="Times New Roman" w:cs="Times New Roman" w:eastAsia="Times New Roman" w:hAnsi="Times New Roman"/>
          <w:sz w:val="18"/>
          <w:szCs w:val="18"/>
          <w:color w:val="auto"/>
        </w:rPr>
        <w:t>” above. We are registering the shares of Common Stock in order to permit the Selling Stockholders to offer the shares for resale from time to time.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 December 11,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fourth column reflects the number and percentage of shares of Common Stock beneficially owned by each Selling Stockholder, assuming the sale of all of the shares offered by the Selling Stockholders pursuant to this prospectus.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440" w:type="dxa"/>
            <w:vAlign w:val="bottom"/>
          </w:tcPr>
          <w:p>
            <w:pPr>
              <w:jc w:val="center"/>
              <w:ind w:left="14"/>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tcPr>
          <w:p>
            <w:pPr>
              <w:jc w:val="center"/>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Stock that May</w:t>
            </w:r>
          </w:p>
        </w:tc>
        <w:tc>
          <w:tcPr>
            <w:tcW w:w="1920" w:type="dxa"/>
            <w:vAlign w:val="bottom"/>
            <w:gridSpan w:val="5"/>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1360" w:type="dxa"/>
            <w:vAlign w:val="bottom"/>
            <w:gridSpan w:val="3"/>
          </w:tcPr>
          <w:p>
            <w:pPr>
              <w:jc w:val="center"/>
              <w:ind w:left="435"/>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5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36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36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1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Bangle &amp; Co fbo Fidelity Advisor Series VII: Fidelity Advisor Biotechnology</w:t>
            </w:r>
          </w:p>
        </w:tc>
        <w:tc>
          <w:tcPr>
            <w:tcW w:w="14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(2)</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242,354</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44,658</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197,696</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Mag &amp; Co fbo Fidelity Capital Trust: Fidelity Stock Selector Small Cap Fund</w:t>
            </w:r>
            <w:r>
              <w:rPr>
                <w:rFonts w:ascii="Times New Roman" w:cs="Times New Roman" w:eastAsia="Times New Roman" w:hAnsi="Times New Roman"/>
                <w:sz w:val="25"/>
                <w:szCs w:val="25"/>
                <w:color w:val="auto"/>
                <w:vertAlign w:val="superscript"/>
              </w:rPr>
              <w:t>(2)</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147,921</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55,800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92,121</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Mag &amp; Co fbo Fidelity Growth Company Commingled Pool</w:t>
            </w:r>
            <w:r>
              <w:rPr>
                <w:rFonts w:ascii="Times New Roman" w:cs="Times New Roman" w:eastAsia="Times New Roman" w:hAnsi="Times New Roman"/>
                <w:sz w:val="25"/>
                <w:szCs w:val="25"/>
                <w:color w:val="auto"/>
                <w:vertAlign w:val="superscript"/>
              </w:rPr>
              <w:t>(2)</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605,264</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298,824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306,440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Mag &amp; Co fbo Fidelity Mt. Vernon Street Trust: Fidelity Series Growth Company</w:t>
            </w: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(2)</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121,750</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58,952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62,798</w:t>
            </w: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Mag &amp; Co fbo Fidelity Securities Fund: Fidelity Series Small Cap Opportunities</w:t>
            </w:r>
          </w:p>
        </w:tc>
        <w:tc>
          <w:tcPr>
            <w:tcW w:w="1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(2)</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364,460</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124,134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240,326</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Mag &amp; Co fbo Fidelity Select Portfolios: Biotechnology Portfolio</w:t>
            </w:r>
            <w:r>
              <w:rPr>
                <w:rFonts w:ascii="Times New Roman" w:cs="Times New Roman" w:eastAsia="Times New Roman" w:hAnsi="Times New Roman"/>
                <w:sz w:val="25"/>
                <w:szCs w:val="25"/>
                <w:color w:val="auto"/>
                <w:vertAlign w:val="superscript"/>
              </w:rPr>
              <w:t>(2)</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129,460</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129,460</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Powhatan &amp; Co, LLC fbo Fidelity Mt. Vernon Street Trust: Fidelity Growth</w:t>
            </w:r>
          </w:p>
        </w:tc>
        <w:tc>
          <w:tcPr>
            <w:tcW w:w="1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K6 Fund</w:t>
            </w:r>
            <w:r>
              <w:rPr>
                <w:rFonts w:ascii="Times New Roman" w:cs="Times New Roman" w:eastAsia="Times New Roman" w:hAnsi="Times New Roman"/>
                <w:sz w:val="26"/>
                <w:szCs w:val="26"/>
                <w:color w:val="auto"/>
                <w:vertAlign w:val="superscript"/>
              </w:rPr>
              <w:t>(2)</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144,480</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75,827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68,653</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Powhatan &amp; Co., LLC fbo Fidelity Mt. Vernon Street Trust: Fidelity Growth</w:t>
            </w: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Fund</w:t>
            </w:r>
            <w:r>
              <w:rPr>
                <w:rFonts w:ascii="Times New Roman" w:cs="Times New Roman" w:eastAsia="Times New Roman" w:hAnsi="Times New Roman"/>
                <w:sz w:val="26"/>
                <w:szCs w:val="26"/>
                <w:color w:val="auto"/>
                <w:vertAlign w:val="superscript"/>
              </w:rPr>
              <w:t>(2)</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462,523</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208,961</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253,562</w:t>
            </w: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Fairmount Funds Management LLC</w:t>
            </w:r>
            <w:r>
              <w:rPr>
                <w:rFonts w:ascii="Times New Roman" w:cs="Times New Roman" w:eastAsia="Times New Roman" w:hAnsi="Times New Roman"/>
                <w:sz w:val="25"/>
                <w:szCs w:val="25"/>
                <w:color w:val="auto"/>
                <w:vertAlign w:val="superscript"/>
              </w:rPr>
              <w:t>(3)</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1,928,503</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1,819,579</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108,924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5AM Ventures</w:t>
            </w:r>
            <w:r>
              <w:rPr>
                <w:rFonts w:ascii="Times New Roman" w:cs="Times New Roman" w:eastAsia="Times New Roman" w:hAnsi="Times New Roman"/>
                <w:sz w:val="25"/>
                <w:szCs w:val="25"/>
                <w:color w:val="auto"/>
                <w:vertAlign w:val="superscript"/>
              </w:rPr>
              <w:t>(4)</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1,482,660</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428,376</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1,254,208</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Tellus BioVentures, LLC</w:t>
            </w:r>
            <w:r>
              <w:rPr>
                <w:rFonts w:ascii="Times New Roman" w:cs="Times New Roman" w:eastAsia="Times New Roman" w:hAnsi="Times New Roman"/>
                <w:sz w:val="25"/>
                <w:szCs w:val="25"/>
                <w:color w:val="auto"/>
                <w:vertAlign w:val="superscript"/>
              </w:rPr>
              <w:t>(5)</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1,270,078</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1,270,078</w:t>
            </w:r>
          </w:p>
        </w:tc>
        <w:tc>
          <w:tcPr>
            <w:tcW w:w="13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Avidity</w:t>
            </w:r>
            <w:r>
              <w:rPr>
                <w:rFonts w:ascii="Times New Roman" w:cs="Times New Roman" w:eastAsia="Times New Roman" w:hAnsi="Times New Roman"/>
                <w:sz w:val="25"/>
                <w:szCs w:val="25"/>
                <w:color w:val="auto"/>
                <w:vertAlign w:val="superscript"/>
              </w:rPr>
              <w:t>(6)</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1,217,554</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214,188</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1,003,366</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Venrock Healthcare Capital Partners</w:t>
            </w:r>
            <w:r>
              <w:rPr>
                <w:rFonts w:ascii="Times New Roman" w:cs="Times New Roman" w:eastAsia="Times New Roman" w:hAnsi="Times New Roman"/>
                <w:sz w:val="25"/>
                <w:szCs w:val="25"/>
                <w:color w:val="auto"/>
                <w:vertAlign w:val="superscript"/>
              </w:rPr>
              <w:t>(7)</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927,706</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242,532</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685,174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Catalio</w:t>
            </w:r>
            <w:r>
              <w:rPr>
                <w:rFonts w:ascii="Times New Roman" w:cs="Times New Roman" w:eastAsia="Times New Roman" w:hAnsi="Times New Roman"/>
                <w:sz w:val="25"/>
                <w:szCs w:val="25"/>
                <w:color w:val="auto"/>
                <w:vertAlign w:val="superscript"/>
              </w:rPr>
              <w:t>(8)</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428,376</w:t>
            </w: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428,376</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Wedbush Securities Inc.</w:t>
            </w:r>
            <w:r>
              <w:rPr>
                <w:rFonts w:ascii="Times New Roman" w:cs="Times New Roman" w:eastAsia="Times New Roman" w:hAnsi="Times New Roman"/>
                <w:sz w:val="25"/>
                <w:szCs w:val="25"/>
                <w:color w:val="auto"/>
                <w:vertAlign w:val="superscript"/>
              </w:rPr>
              <w:t>(9)</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164,592</w:t>
            </w:r>
          </w:p>
        </w:tc>
        <w:tc>
          <w:tcPr>
            <w:tcW w:w="15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64,256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100,336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1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the shares of Common Stock of the Selling Stockholders covered by this prospectus are sold and that the Selling Stockholders do not acquire any additional shares of Common Stock before the completion of this Offering. However, as each Selling Stockholder can offer all, some or none of its Common Stock, no definitive estimate can be given as to the number of shares of Common Stock that any Selling Stockholder will ultimately offer or sell under this prospectus.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accounts are managed by direct or indirect subsidiaries of FMR LLC. The shares listed above are beneficially owned, or may be deemed to be beneficially owned,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FMR LLC and of each of the foregoing funds and accounts is 245 Summer Street, Boston, MA 02210.</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(i) 62,146 shares of Common Stock held by Fairmount SPV III, LLC (“Fairmount SPV”) (ii) 58,857 shares of Common Stock held by Fairmount Healthcare Fund L.P. (“Fairmount HF”) and (iii) 1,807,500 shares of Common Stock held by Fairmount Healthcare Fund II L.P. (“Fairmount HF II,” and, together with Fairmount SPV and Fairmount HF, the “Fairmount Funds”). Fairmount Funds Management LLC (“Fairmount”) is the Class A Member of Fairmount SPV. Fairmount has voting and dispositive power over the shares held by Fairmount Funds. Fairmount is the investment manager for Fairmount HF and Fairmount HF II and is the Class A Member for Fairmount SPV. The general partner of Fairmount is Fairmount Funds Management GP LLC (“Fairmount GP”), of which Peter Harwin and Tomas Kiselak are the managing members. Fairmount, Fairmount GP, Mr. Harwin, and Mr. Kiselak disclaim beneficial ownership of any of the reported securities, except to the extent of their pecuniary interest therein. The principal business address of each of the foregoing entities or persons is 200 Barr Harbor Drive, Suite 400, West Conshohocken, Pennsylvania 19428.</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(i) 430,776 shares of Common Stock and 2,599 shares of Common Stock issuable upon the exercise of Pre-Funded Warrants held by 5AM Opportunities II, L.P. (“5AM Opportunities”) and (ii) 1,041,488 shares of Common Stock and 7,797 shares of Common Stock issuable upon the exercise of Pre-Funded Warrants held by 5AM Ventures VII, L.P. (“5AM Ventures VII” and, together with 5AM Opportunities, the “5AM Selling Stockholders”). 5AM Partners VII, LLC (“Ventures GP”) is the sole general partner of 5AM Ventures VII and may be deemed to have sole investment and voting power over the shares held by 5AM Ventures VII. 5AM Opportunities II (GP), LLC (“Opportunities GP”) is the sole general partner of 5AM Opportunities and may be deemed to have sole investment and voting power over the shares held by 5AM Opportunities. Andrew Schwab and Kush Parmar are the managing members of each of Ventures GP and Opportunities GP and may be deemed to share voting and dispositive power over the shares held by 5AM Ventures VII and 5AM Opportunities. Each of Ventures GP, Opportunities GP, Kush Parmar and Andrew Schwab disclaims beneficial ownership of such shares, except to the extent of his respective pecuniary interest therein. Pursuant to the terms of the Pre-Funded Warrants, each of 5AM Opportunities and 5AM Ventures VII may not exercise any portion of any Pre-Funded Warrant, which, upon giving effect to such exercise, would cause it (together with its affiliates) to own more than 9.9999% of the number of shares of Common Stock outstanding immediately after giving effect to such exercise, as such percentage ownership is determined in accordance with the terms of the Pre-Funded Warrants. However, each of the 5AM Selling Stockholders may increase or decrease such percentage to any other percentage not in excess of 9.9999%, provided that (i) any increase in such percentage shall not be effective until 61 days after such notice is delivered to us and</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82"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340"/>
        <w:spacing w:after="0" w:line="261" w:lineRule="auto"/>
        <w:rPr>
          <w:sz w:val="20"/>
          <w:szCs w:val="20"/>
          <w:color w:val="auto"/>
        </w:rPr>
      </w:pPr>
      <w:r>
        <w:rPr>
          <w:rFonts w:ascii="Times New Roman" w:cs="Times New Roman" w:eastAsia="Times New Roman" w:hAnsi="Times New Roman"/>
          <w:sz w:val="18"/>
          <w:szCs w:val="18"/>
          <w:color w:val="auto"/>
        </w:rPr>
        <w:t>(ii) any such increase or decrease will apply only to the holder of each specific Pre-Funded Warrant and not to any other holder of Pre-Funded Warrants. The address of each of the foregoing persons is c/o 5AM Ventures, 501 2nd Street, Suite 350, San Francisco, CA 94107.</w:t>
      </w:r>
    </w:p>
    <w:p>
      <w:pPr>
        <w:ind w:left="540" w:right="2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1,270,078 shares of Common Stock held by Tellus BioVentures. Leon O. Moulder, Jr., is the sole managing member of Tellus BioVentures and may be deemed to have sole voting and dispositive power over the shares held by Tellus BioVentures. Mr. Moulder disclaims beneficial ownership of such shares, except to the extent of his pecuniary interest therein. The principal business address of Tellus BioVentures and Mr. Moulder is 10520 Trevi Isle Way, Miromar Lakes, FL 33913.</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(i) 691,033 shares of Common Stock held by Avidity Private Master Fund I LP (“APMF”), (ii) 465,117 shares of Common Stock held by Avidity Master Fund LP (“AMF”) and (iii) 61,404 shares of Common Stock held by Avidity Capital Fund II LP (“ACF,” and, together with APMF and AMF, the “Avidity Funds”). The general partner of each of the Avidity Funds is Avidity Capital Partners Fund (GP) LP, whose general partner is Avidity Capital Partners (GP) LLC. Avidity Partners Management LP is the investment manager of each of the Avidity Funds. Avidity Partners Management (GP) LLC is the general partner of Avidity Partners Management LP. David Witzke and Michael Gregory are the managing members of Avidity Capital Partners (GP) LLC and Avidity Partners Management (GP) LLC. Mr. Witzke and Mr. Gregory may be deemed to have shared voting and investment power over the shares held by each of the Avidity Funds. Each of Mr. Witzke and Mr. Gregory disclaim beneficial ownership of such shares, except to the extent of his respective pecuniary interest therein. The principal business address of each of the foregoing persons is 2828 N. Harwood Street, Suite 1220, Dallas, TX 75201.</w:t>
      </w:r>
    </w:p>
    <w:p>
      <w:pPr>
        <w:spacing w:after="0" w:line="3"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(i) 589,537 shares of Common Stock held by Venrock Healthcare Capital Partners EG, L.P. (“VHCP EG”), (ii) 307,439 shares of Common Stock held by Venrock Healthcare Capital Partners III, L.P. (“VHCP III”) and (iii) 30,730 shares of Common Stock held by VHCP Co-Investment Holdings III, LLC (“VCHP Co-III” and, together with VHCP EG and VHCP III, the “Venrock Funds”). VHCP Management EG, LLC (“VHCPM EG”) is the sole general partner of VHCP EG. VHCP Management III, LLC (“VHCPM III”) is the sole general partner of VHCP III and the sole manager of VHCP Co-III. Dr. Bong Koh and Nimish Shah are the voting members of VHCPM III and VHCPM EG. The principal business address of each of the foregoing persons is 7 Bryant Park, 23rd Floor, New York, New York 10018.</w:t>
      </w:r>
    </w:p>
    <w:p>
      <w:pPr>
        <w:spacing w:after="0" w:line="2"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listed under “Common Stock Beneficially Owned Before Offering” consist of (i) 385,539 shares of Common Stock held by Catalio Nexus Fund III, LP (“Catalio Nexus Fund”) and (ii) 42,837 shares of Common Stock held by Catalio Public Equities Master Fund, LP (“Catalio Master Fund” and, together with Catalio Nexus Fund, the “Catalio Funds”). R. Jacob Vogelstein holds the power to vote and dispose of the securities held by the Catalio Funds. The principal business address of this person and these entities is 512 West 22nd Street, 5th Floor, New York, NY 10011.</w:t>
      </w:r>
    </w:p>
    <w:p>
      <w:pPr>
        <w:ind w:left="540" w:right="20" w:hanging="424"/>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“Common Stock Beneficially Owned Before Offering” consist of (i) 64,256 shares of Common Stock held by Wedbush Healthcare Partners 2023 Fund, LLC (the “Wedbush 2023 Fund”) and (ii) 100,336 shares of Common Stock held by Wedbush Healthcare Partners 2022 Fund, LLC (the “Wedbush 2022 Fund”), which entity, while not a Selling Stockholder, is an affiliate of Wedbush 2023 Fund. The managing member of each of the funds is Wedbush Securities Inc., which may be deemed to beneficially own the shares held by Wedbush 2022 Fund and Wedbush 2023 Fund. The address for these entities is Wedbush Center, 1000 Wilshire Blvd., Los Angeles, CA 90017.</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are not selling any Resale Shares under this prospectus and will not receive any of the proceeds from the sale by the Selling Stockholders of the Resale Shares. We will, or will procure to, bear all fees and expenses incident to our obligation to register the Resale Shares.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5"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positions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82"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other circumstances, in which case the transferees, pledgees, donees or other successors in interest will be the selling beneficial owners for purposes of this prospectus.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description of our capital stock and does not purport to be complete and is subject to, and qualified in its entirety by, our fifth amended and restated certificate of incorporation (“charter”) and our second amended and restated bylaws (“bylaws”). You should refer to our charter and our bylaws for the actual terms of our capital stock. Copies of our charter and bylaws may be obtained as described under the heading “Where You Can Find More Information” in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and 10,000,000 shares of undesignated preferred stock, par value $0.001 per share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receive dividends ratably, if any, as may be declared by our board of directors out of legally available funds, subject to any preferential dividend rights of any Preferred Stock then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of Common Stock held of record for the election of directors of Dianthus and on all matters submitted to a vote of the stockholders. The holders of Common Stock do not have any cumulative voting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dissolution, liquidation or winding up, holders of Common Stock are entitled to share ratably in our net assets legally available after the payment of all our debts and other liabilities, subject to the preferential rights of any Preferred Stock then outstanding. The rights, preferences and privileges of holders of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Holders of Common Stock are not entitled to preemptive, subscription, redemption or conversion rights, and no sinking fund provisions are applicable to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our charter, our board of directors is authorized, without further action by the stockholders, to designate and issue up to an aggregate of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Our board of directors may authorize the issuance of Preferred Stock with voting or conversion rights that could adversely affect the voting power or other rights of the holders of Common Stock and the likelihood that such holders will receive dividend payments and payments upon our liquidation.</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preferences, privileges and restrictions is to eliminate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82"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delays associated with a stockholder vote on specific issuances. The issuance of Preferred Stock, while providing flexibility in connection with possible future financings and acquisitions and other corporate purposes could, under certain circumstances, have the effect of delaying, deferring or preventing a change in control of the company. As of the date of this prospectus, there are no shares of Preferred Stock outstanding, and we have no present plans to issue any shares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Our Charter and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General Corporation Law of Delaware (the “DGCL”) and of our charter and bylaws could have the effect of delaying, deferring or discouraging another party from acquiring control of Dianthus.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Dianthus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hold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right="5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by any direct or indirect majority-owned subsidiary of the corporation of any stock of the corporation or any subsidiary to the interested stockholder;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shall be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against us or any of our current or former directors, officers, employees or stockholders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we refer to herein as the “Delaware Forum Provision.” The Delaware Forum Provision will not apply to any causes of action arising under the Securities Act or the Exchange Act. Our bylaws further provide that, unless we consent in writing to an alternative forum, the federal district courts of the United States shall be the exclusive forum for the resolution of any complaint asserting a cause of action arising under the Securities Act, which we refer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w:t>
      </w:r>
    </w:p>
    <w:p>
      <w:pPr>
        <w:spacing w:after="0" w:line="192"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or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our charter, our board is divided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election of directors. Furthermore, any vacancy on our board of directors, however occurring, including a vacancy resulting from an increase in the size of our board, may only be filled by the affirmative vote of a majority of the remaining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charter provides that all stockholder actions are required to be taken by a vote of the stockholders at an annual or special meeting, and that stockholders may not take any action by written consent in lieu of a meeting. This requirement may lengthen the amount of time required to take stockholder actions and would prevent the amendment of our bylaws or removal of directors by our stockholders without holding a meeting of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charter and our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Our Charter and Our Bylaws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the DGCL, any amendment of our charter must first be 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the amendment of our bylaws and the amendment of our charter must be approved by not less than two-thirds of the outstanding shares entitled to vote on the amendment, and not less than two-thirds of the outstanding shares of each class entitled to vote thereon as a class.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60"/>
          </w:cols>
          <w:pgMar w:left="320" w:top="482"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“DNTH.”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 and its telephone number is (800) 962-4284.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the Company, OpCo and the Selling Stockholders entered into the Registration Rights Agreement, pursuant to which, among other things, the Company agreed to provide for the registration and resale of certain shares of Common Stock that are held by the Selling Stockholders from time to time, including the shares of Common Stock issued in exchange for shares of common stock of OpCo sold in the OpCo pre-closing financing and the shares of Common Stock issuable upon exercise of the Pre-Funded Warrants assumed upon conversion of the pre-funded warrants of OpCo sold in the OpCo pre-closing financing.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the Company agreed to prepare and file a shelf registration statement covering the resale of the Common Stock within 45 days of the closing of the Merger pursuant to Rule 415 of the Securities Act,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and</w:t>
      </w:r>
    </w:p>
    <w:p>
      <w:pPr>
        <w:spacing w:after="0" w:line="3" w:lineRule="exact"/>
        <w:rPr>
          <w:sz w:val="20"/>
          <w:szCs w:val="20"/>
          <w:color w:val="auto"/>
        </w:rPr>
      </w:pPr>
    </w:p>
    <w:p>
      <w:pPr>
        <w:ind w:left="120" w:right="480" w:hanging="4"/>
        <w:spacing w:after="0" w:line="260" w:lineRule="auto"/>
        <w:tabs>
          <w:tab w:leader="none" w:pos="3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after the date of the Registration Rights Agreement. The Registration Rights Agreement also provides that the Company pay certain expenses of the securityholders and indemnify the applicable securityholders against certain liabilities.</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the full text of the Registration Rights Agreement, a copy of which is filed as Exhibit 4.2 to this Registration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Certain of Dianthus’ executive officers, directors and stockholders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currently or thereafter owned, until 180 days after the closing of the Merger.</w:t>
      </w:r>
    </w:p>
    <w:p>
      <w:pPr>
        <w:spacing w:after="0" w:line="16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the full text of the form of lock-up agreement, which is filed as Exhibit 10.3 to this Registration Statement.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82"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has been passed upon for us by Gibson, Dunn &amp; Crutcher LLP, San Francisco, California.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Dianthus Therapeutics OpCo, Inc. (formerly Dianthus Therapeutics, Inc.) as of December 31, 2022 and 2021, and for each of the two years in the period ended December 31, 2022 included in this registration statement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(http://www.sec.gov) that contains reports, proxy and information statements, and various other information about us.</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http://www.dianthustx.com.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176" w:lineRule="exact"/>
        <w:rPr>
          <w:sz w:val="20"/>
          <w:szCs w:val="20"/>
          <w:color w:val="auto"/>
        </w:rPr>
      </w:pPr>
    </w:p>
    <w:p>
      <w:pPr>
        <w:ind w:left="120" w:right="12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filed a registration statement on </w:t>
      </w:r>
      <w:hyperlink r:id="rId195">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 (as defined below in Note 1) Dianthus Therapeutics, Inc. changed its name to Dianthus Therapeutics OpCo, Inc. on September 11, 2023. For purposes of the financial statements for the years ended December 31, 2022 and 2021, Dianthus Therapeutics, Inc. is referring to the company prior to the Merger. For purposes of the financial statements for the nine months ended September 30, 2023 and 2022, Dianthus Therapeutics, Inc. is referring to the company after the Merger.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Years ended December 31, 2022 and 2021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56"/>
        </w:trPr>
        <w:tc>
          <w:tcPr>
            <w:tcW w:w="10500" w:type="dxa"/>
            <w:vAlign w:val="bottom"/>
            <w:gridSpan w:val="20"/>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(Deloitte &amp; Touche LLP, PCAOB ID 34)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5700" w:type="dxa"/>
            <w:vAlign w:val="bottom"/>
            <w:tcBorders>
              <w:top w:val="single" w:sz="8" w:color="0000EE"/>
            </w:tcBorders>
            <w:gridSpan w:val="9"/>
          </w:tcPr>
          <w:p>
            <w:pPr>
              <w:spacing w:after="0"/>
              <w:rPr>
                <w:sz w:val="17"/>
                <w:szCs w:val="17"/>
                <w:color w:val="auto"/>
              </w:rPr>
            </w:pPr>
          </w:p>
        </w:tc>
        <w:tc>
          <w:tcPr>
            <w:tcW w:w="330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2022 and 2021</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years ended December 31, 2022 and 2021</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Statements of Changes in Convertible Preferred Stock and Stockholders’ Equity/(Deficit) for the years ended December 31, 2022 and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2022 and 2021</w:t>
            </w:r>
          </w:p>
        </w:tc>
        <w:tc>
          <w:tcPr>
            <w:tcW w:w="468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Nine months ended September 30, 2023 and 2022</w:t>
            </w:r>
          </w:p>
        </w:tc>
        <w:tc>
          <w:tcPr>
            <w:tcW w:w="690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Interim Financial Statements (Unaudited)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2023 and December 31, 2022</w:t>
            </w:r>
          </w:p>
        </w:tc>
        <w:tc>
          <w:tcPr>
            <w:tcW w:w="356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 months ended September 30, 2023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2022</w:t>
            </w:r>
          </w:p>
        </w:tc>
        <w:tc>
          <w:tcPr>
            <w:tcW w:w="5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Convertible Preferred Stock and Stockholders’ Deficit for the three and nine months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6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2023 and 2022</w:t>
            </w:r>
          </w:p>
        </w:tc>
        <w:tc>
          <w:tcPr>
            <w:tcW w:w="3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2023 and 2022</w:t>
            </w:r>
          </w:p>
        </w:tc>
        <w:tc>
          <w:tcPr>
            <w:tcW w:w="230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c>
          <w:tcPr>
            <w:tcW w:w="0" w:type="dxa"/>
            <w:vAlign w:val="bottom"/>
          </w:tcPr>
          <w:p>
            <w:pPr>
              <w:spacing w:after="0"/>
              <w:rPr>
                <w:sz w:val="1"/>
                <w:szCs w:val="1"/>
                <w:color w:val="auto"/>
              </w:rPr>
            </w:pPr>
          </w:p>
        </w:tc>
      </w:tr>
      <w:tr>
        <w:trPr>
          <w:trHeight w:val="196"/>
        </w:trPr>
        <w:tc>
          <w:tcPr>
            <w:tcW w:w="10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Interim Condensed Consolidated Financial Statements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c>
          <w:tcPr>
            <w:tcW w:w="0" w:type="dxa"/>
            <w:vAlign w:val="bottom"/>
          </w:tcPr>
          <w:p>
            <w:pPr>
              <w:spacing w:after="0"/>
              <w:rPr>
                <w:sz w:val="1"/>
                <w:szCs w:val="1"/>
                <w:color w:val="auto"/>
              </w:rPr>
            </w:pPr>
          </w:p>
        </w:tc>
      </w:tr>
      <w:tr>
        <w:trPr>
          <w:trHeight w:val="385"/>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940" w:type="dxa"/>
            <w:vAlign w:val="bottom"/>
            <w:gridSpan w:val="9"/>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Dianthus Therapeutics,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Dianthus Therapeutics OpCo, Inc. (formerly Dianthus Therapeutics, Inc.) (the “Company”) as of December 31, 2022 and 2021, the related statements of operations and comprehensive loss, changes in convertible preferred stock and stockholders’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incurred significant losses and negative cash flows from operations and has limited capital resources to fund ongoing operations, which raises substantial doubt about its ability to continue as a going concern. Management’s plans regarding these matters are also described in Note 1. The financial statements do not include any adjustments that might result from the outcome of these uncertainties.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15, 2023 (December 21, 2023, as to the effects of the exchange ratio described in Note 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82"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7,638</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 from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3,993</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5,352</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33,336,283 and 10,329,266 shares authorized at December 31, 2022 and 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Seed 1 convertible preferred stock, 6,500,000 shares designated, issued, and outstanding, liquidation preference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$6,500 at December 31, 2022 and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6,436</w:t>
            </w:r>
          </w:p>
        </w:tc>
      </w:tr>
      <w:tr>
        <w:trPr>
          <w:trHeight w:val="198"/>
        </w:trPr>
        <w:tc>
          <w:tcPr>
            <w:tcW w:w="9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Seed 2 convertible preferred stock, 3,829,265 shares designated, issued, and outstanding, liquidation preference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$15,000 at December 31, 2022 and 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14,912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14,912</w:t>
            </w:r>
          </w:p>
        </w:tc>
      </w:tr>
      <w:tr>
        <w:trPr>
          <w:trHeight w:val="198"/>
        </w:trPr>
        <w:tc>
          <w:tcPr>
            <w:tcW w:w="9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23,007,017 shares designated, issued, and outstanding, liquidation preference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9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$100,000 at December 31, 2022</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118,024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21,348</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9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8,722,279 and 3,706,968 shares authorized at December 31, 2022 and 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875,279 shares issued and outstanding at December 31, 2022 and 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(17,392)</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(17,249)</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0"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9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currency exchange, net</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(28,476)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outstanding, used in computing</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874,234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873,471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(28,476)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unrealized losses related to available-for-sale debt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(28,637)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Equity/(Deficit)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8"/>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Stockholders’ Equity/(Deficit)</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8"/>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6"/>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240" w:type="dxa"/>
            <w:vAlign w:val="bottom"/>
            <w:gridSpan w:val="5"/>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Series Seed 1</w:t>
            </w:r>
          </w:p>
        </w:tc>
        <w:tc>
          <w:tcPr>
            <w:tcW w:w="1280" w:type="dxa"/>
            <w:vAlign w:val="bottom"/>
            <w:gridSpan w:val="6"/>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Series Seed 2</w:t>
            </w:r>
          </w:p>
        </w:tc>
        <w:tc>
          <w:tcPr>
            <w:tcW w:w="8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right"/>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40" w:type="dxa"/>
            <w:vAlign w:val="bottom"/>
          </w:tcPr>
          <w:p>
            <w:pPr>
              <w:jc w:val="center"/>
              <w:ind w:right="50"/>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4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280" w:type="dxa"/>
            <w:vAlign w:val="bottom"/>
            <w:gridSpan w:val="6"/>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360" w:type="dxa"/>
            <w:vAlign w:val="bottom"/>
            <w:gridSpan w:val="5"/>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720" w:type="dxa"/>
            <w:vAlign w:val="bottom"/>
            <w:tcBorders>
              <w:right w:val="single" w:sz="8" w:color="auto"/>
            </w:tcBorders>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28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7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40" w:type="dxa"/>
            <w:vAlign w:val="bottom"/>
          </w:tcPr>
          <w:p>
            <w:pPr>
              <w:spacing w:after="0"/>
              <w:rPr>
                <w:sz w:val="12"/>
                <w:szCs w:val="12"/>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74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gridSpan w:val="2"/>
          </w:tcPr>
          <w:p>
            <w:pPr>
              <w:spacing w:after="0"/>
              <w:rPr>
                <w:sz w:val="11"/>
                <w:szCs w:val="11"/>
                <w:color w:val="auto"/>
              </w:rPr>
            </w:pPr>
          </w:p>
        </w:tc>
        <w:tc>
          <w:tcPr>
            <w:tcW w:w="4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1"/>
                <w:szCs w:val="11"/>
                <w:color w:val="auto"/>
              </w:rPr>
            </w:pPr>
          </w:p>
        </w:tc>
        <w:tc>
          <w:tcPr>
            <w:tcW w:w="580" w:type="dxa"/>
            <w:vAlign w:val="bottom"/>
            <w:tcBorders>
              <w:bottom w:val="single" w:sz="8" w:color="auto"/>
            </w:tcBorders>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2021</w:t>
            </w:r>
          </w:p>
        </w:tc>
        <w:tc>
          <w:tcPr>
            <w:tcW w:w="64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6,500,000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$ 6,436</w:t>
            </w:r>
          </w:p>
        </w:tc>
        <w:tc>
          <w:tcPr>
            <w:tcW w:w="660" w:type="dxa"/>
            <w:vAlign w:val="bottom"/>
            <w:gridSpan w:val="2"/>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6,436</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875,279</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(4,283)</w:t>
            </w:r>
          </w:p>
        </w:tc>
        <w:tc>
          <w:tcPr>
            <w:tcW w:w="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(4,203)</w:t>
            </w:r>
          </w:p>
        </w:tc>
        <w:tc>
          <w:tcPr>
            <w:tcW w:w="0" w:type="dxa"/>
            <w:vAlign w:val="bottom"/>
          </w:tcPr>
          <w:p>
            <w:pPr>
              <w:spacing w:after="0"/>
              <w:rPr>
                <w:sz w:val="1"/>
                <w:szCs w:val="1"/>
                <w:color w:val="auto"/>
              </w:rPr>
            </w:pPr>
          </w:p>
        </w:tc>
      </w:tr>
      <w:tr>
        <w:trPr>
          <w:trHeight w:val="133"/>
        </w:trPr>
        <w:tc>
          <w:tcPr>
            <w:tcW w:w="1840" w:type="dxa"/>
            <w:vAlign w:val="bottom"/>
          </w:tcPr>
          <w:p>
            <w:pPr>
              <w:ind w:left="280"/>
              <w:spacing w:after="0" w:line="133" w:lineRule="exact"/>
              <w:rPr>
                <w:sz w:val="20"/>
                <w:szCs w:val="20"/>
                <w:color w:val="auto"/>
              </w:rPr>
            </w:pPr>
            <w:r>
              <w:rPr>
                <w:rFonts w:ascii="Times New Roman" w:cs="Times New Roman" w:eastAsia="Times New Roman" w:hAnsi="Times New Roman"/>
                <w:sz w:val="14"/>
                <w:szCs w:val="14"/>
                <w:color w:val="auto"/>
              </w:rPr>
              <w:t>Issuance of convertible</w:t>
            </w: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preferred stock, net of</w:t>
            </w:r>
          </w:p>
        </w:tc>
        <w:tc>
          <w:tcPr>
            <w:tcW w:w="7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3,829,265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14,912</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14,912</w:t>
            </w:r>
          </w:p>
        </w:tc>
        <w:tc>
          <w:tcPr>
            <w:tcW w:w="4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issuance costs of $88</w:t>
            </w:r>
          </w:p>
        </w:tc>
        <w:tc>
          <w:tcPr>
            <w:tcW w:w="7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compensation expense</w:t>
            </w:r>
          </w:p>
        </w:tc>
        <w:tc>
          <w:tcPr>
            <w:tcW w:w="700" w:type="dxa"/>
            <w:vAlign w:val="bottom"/>
            <w:gridSpan w:val="3"/>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(13,109)</w:t>
            </w:r>
          </w:p>
        </w:tc>
        <w:tc>
          <w:tcPr>
            <w:tcW w:w="58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(13,109)</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2021</w:t>
            </w:r>
          </w:p>
        </w:tc>
        <w:tc>
          <w:tcPr>
            <w:tcW w:w="6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6,500,000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$ 6,436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3,829,265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14,912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875,279</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(17,392)</w:t>
            </w:r>
          </w:p>
        </w:tc>
        <w:tc>
          <w:tcPr>
            <w:tcW w:w="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(17,249)</w:t>
            </w:r>
          </w:p>
        </w:tc>
        <w:tc>
          <w:tcPr>
            <w:tcW w:w="0" w:type="dxa"/>
            <w:vAlign w:val="bottom"/>
          </w:tcPr>
          <w:p>
            <w:pPr>
              <w:spacing w:after="0"/>
              <w:rPr>
                <w:sz w:val="1"/>
                <w:szCs w:val="1"/>
                <w:color w:val="auto"/>
              </w:rPr>
            </w:pPr>
          </w:p>
        </w:tc>
      </w:tr>
      <w:tr>
        <w:trPr>
          <w:trHeight w:val="133"/>
        </w:trPr>
        <w:tc>
          <w:tcPr>
            <w:tcW w:w="1840" w:type="dxa"/>
            <w:vAlign w:val="bottom"/>
          </w:tcPr>
          <w:p>
            <w:pPr>
              <w:ind w:left="280"/>
              <w:spacing w:after="0" w:line="133" w:lineRule="exact"/>
              <w:rPr>
                <w:sz w:val="20"/>
                <w:szCs w:val="20"/>
                <w:color w:val="auto"/>
              </w:rPr>
            </w:pPr>
            <w:r>
              <w:rPr>
                <w:rFonts w:ascii="Times New Roman" w:cs="Times New Roman" w:eastAsia="Times New Roman" w:hAnsi="Times New Roman"/>
                <w:sz w:val="14"/>
                <w:szCs w:val="14"/>
                <w:color w:val="auto"/>
              </w:rPr>
              <w:t>Issuance of convertible</w:t>
            </w: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preferred stock, net of</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7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23,007,017</w:t>
            </w:r>
          </w:p>
        </w:tc>
        <w:tc>
          <w:tcPr>
            <w:tcW w:w="8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96,676</w:t>
            </w:r>
          </w:p>
        </w:tc>
        <w:tc>
          <w:tcPr>
            <w:tcW w:w="120" w:type="dxa"/>
            <w:vAlign w:val="bottom"/>
          </w:tcPr>
          <w:p>
            <w:pPr>
              <w:spacing w:after="0"/>
              <w:rPr>
                <w:sz w:val="12"/>
                <w:szCs w:val="12"/>
                <w:color w:val="auto"/>
              </w:rPr>
            </w:pPr>
          </w:p>
        </w:tc>
        <w:tc>
          <w:tcPr>
            <w:tcW w:w="60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96,676</w:t>
            </w:r>
          </w:p>
        </w:tc>
        <w:tc>
          <w:tcPr>
            <w:tcW w:w="4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 $3,324</w:t>
            </w:r>
          </w:p>
        </w:tc>
        <w:tc>
          <w:tcPr>
            <w:tcW w:w="7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compensation expense</w:t>
            </w:r>
          </w:p>
        </w:tc>
        <w:tc>
          <w:tcPr>
            <w:tcW w:w="700" w:type="dxa"/>
            <w:vAlign w:val="bottom"/>
            <w:gridSpan w:val="3"/>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(28,476)</w:t>
            </w:r>
          </w:p>
        </w:tc>
        <w:tc>
          <w:tcPr>
            <w:tcW w:w="58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(28,476)</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0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(161)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56"/>
        </w:trPr>
        <w:tc>
          <w:tcPr>
            <w:tcW w:w="1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2022</w:t>
            </w: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99"/>
              </w:rPr>
              <w:t>6,500,000</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9"/>
              </w:rPr>
              <w:t>$ 6,436</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99"/>
              </w:rPr>
              <w:t>3,829,265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8"/>
              </w:rPr>
              <w:t>14,912</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8"/>
              </w:rPr>
              <w:t>23,007,017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8"/>
              </w:rPr>
              <w:t>96,676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6"/>
              </w:rPr>
              <w:t>118,024</w:t>
            </w:r>
          </w:p>
        </w:tc>
        <w:tc>
          <w:tcPr>
            <w:tcW w:w="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875,279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1,661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(45,868</w:t>
            </w:r>
          </w:p>
        </w:tc>
        <w:tc>
          <w:tcPr>
            <w:tcW w:w="16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78"/>
              </w:rPr>
              <w:t>(161)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(44,368</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(28,476)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Accretion on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right-of-use operating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(4,231)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Unbilled receivable from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8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 accrued expenses and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23"/>
        </w:trPr>
        <w:tc>
          <w:tcPr>
            <w:tcW w:w="89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(61,680)</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A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for Series A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Seed 2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for Series Seed 2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15,425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15,425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Additions to right-of-use lease assets from new operating lease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Dianthus Therapeutics, Inc. (“Dianthus” or the “Company”) is a clinical-stage biotechnology company focused on developing next-generation complement therapeutics for patients with severe autoimmune and inflammatory diseases. Dianthus was incorporated in the State of Delaware on May 1, 2019 and its corporate headquarters is located in New York, New York.</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Currently, the Company is devoting substantially all efforts and resources toward product research and development. The Company has incurred losses from operations and negative operating cash flows since its inception. There can be no assurance that its research and development programs will be successful, that products developed will obtain necessary regulatory approval, or that any approved product will be commercially viable. In addition, the Company operates in an environment of rapid technological change and is largely dependent on the services of its key employees, consultants, and advisors.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its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potential product candidates that are in development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its product development efforts are successful, it is uncertain when, if ever, the Company will generate revenue from product sales.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jc w:val="both"/>
        <w:ind w:left="120" w:right="44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accordance with Accounting Standards Update No. 2014-15, </w:t>
      </w:r>
      <w:r>
        <w:rPr>
          <w:rFonts w:ascii="Times New Roman" w:cs="Times New Roman" w:eastAsia="Times New Roman" w:hAnsi="Times New Roman"/>
          <w:sz w:val="17"/>
          <w:szCs w:val="17"/>
          <w:i w:val="1"/>
          <w:iCs w:val="1"/>
          <w:color w:val="auto"/>
        </w:rPr>
        <w:t>Disclosure of Uncertainties about an Entity’s Ability to Continue as a Going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Concern </w:t>
      </w:r>
      <w:r>
        <w:rPr>
          <w:rFonts w:ascii="Times New Roman" w:cs="Times New Roman" w:eastAsia="Times New Roman" w:hAnsi="Times New Roman"/>
          <w:sz w:val="17"/>
          <w:szCs w:val="17"/>
          <w:color w:val="auto"/>
        </w:rPr>
        <w:t>(Subtopic 205-40), the Company evaluated the following adverse conditions and events that raise substantial doubt about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ability to continue as a going concern within one year after the date that the accompanying financial statements were issued (the “issuance date”):</w:t>
      </w:r>
    </w:p>
    <w:p>
      <w:pPr>
        <w:spacing w:after="0" w:line="63" w:lineRule="exact"/>
        <w:rPr>
          <w:sz w:val="20"/>
          <w:szCs w:val="20"/>
          <w:color w:val="auto"/>
        </w:rPr>
      </w:pPr>
    </w:p>
    <w:p>
      <w:pPr>
        <w:ind w:left="1080" w:right="20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funded its operations primarily with outside capital (i.e., proceeds from the sale of preferred stock) and has incurred significant recurring losses, including net losses of $28.5 million and $13.1 million for the years ended December 31, 2022 and 2021, respectively. In addition, the Company had an accumulated deficit of $45.9 million as of December 31, 2022;</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continue to incur significant recurring losses and rely on outside capital to fund its operations for the foreseeable future;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its available cash, cash equivalents and short-term investments on hand as of the issuance date will not be sufficient to fund its obligations as they become due for at least one year beyond the issuance date.</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While the Company is seeking to secure additional outside capital as of the issuance date, management can provide no assurance such capital will be secured or on terms that are acceptable to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82"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Similarly, as disclosed in Note 17, while the Company plans to consummate a reverse merger and concurrent private financing during the second half of fiscal year 2023, management can provide no assurance the reverse merger and concurrent private financing will be consummated on terms that are acceptable to the Company, if at all.</w:t>
      </w:r>
    </w:p>
    <w:p>
      <w:pPr>
        <w:spacing w:after="0" w:line="176"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the Company is unable to secure additional outside capital and/or consummate the reverse merger and concurrent private financing,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 These uncertainties raise substantial doubt about the Company’s ability to continue as a going concern.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do not include any adjustments that might result from the outcome of these uncertainties.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and Exchange Ratio</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May 2, 2023, the Company entered into a Merger Agreement with Magenta Therapeutics, Inc. (“Magenta”) and Dio Merger Sub, Inc. (“Merger Sub”). Pursuant to the Merger Agreement, among other matters, Merger Sub merged with and into the Company with the Company continuing as a wholly owned subsidiary of Magenta and the surviving corporation of the merger (“Merger”). Concurrently with the execution of the Merger Agreement, and in order to provide the Company with additional capital for its development programs prior to the closing of this Merger, certain new and existing investors purchased an aggregate of approximately $72.0 million of common stock and pre-funded warrants of the Company in a pre-closing financing.</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September 11, 2023, the Company completed its Merger with Magenta and Merger Sub. In connection with the completion of the Merger, the Company changed its name from “Dianthus Therapeutics, Inc.” to “Dianthus Therapeutics OpCo, Inc.,” Magenta changed its name to “Dianthus Therapeutics, Inc.” and the business conducted by Magenta became primarily the business conducted by the Company.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Magenta issued an aggregate of 11,021,248 shares of its common stock to the Company’s stockholders (after giving effect to the 1-for-16 reverse stock split of Magenta common stock in connection with the Merger), based on the exchange ratio of approximately 0.2181 shares of Magenta common stock for each share of the Company’s common stock, including those shares of the Company’s common stock issued upon the conversion of the Company’s preferred stock and those shares of the Company’s common stock issued in the pre-closing financing (as defined above), resulting in 14,817,762 shares of the Company’s common stock being issued and outstanding following the effective time of the Merger.</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Merger has been accounted for as a reverse recapitalization in accordance with generally accepted accounting principles in the United States of America (“U.S. GAAP”). Under this method of accounting, the Company is deemed to be the accounting acquirer for financial reporting purposes. This determination was based on the fact that, immediately following the Merger: (i) the Company’s stockholders own a substantial majority of the voting rights in the combined company; (ii) the Company’s largest stockholders retained the largest interest in the combined company; (iii) the Company designated a majority (six of eight) of the initial members of the board of directors of the combined company; and (iv) the Company’s executive management team became the management team of the combined company. Historical common share figures of the Company have been retroactively restated based on the exchange ratio of approximately 0.2181.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560" w:right="7440" w:hanging="444"/>
        <w:spacing w:after="0" w:line="377" w:lineRule="auto"/>
        <w:tabs>
          <w:tab w:leader="none" w:pos="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U.S. generally accepted accounting principles (“U.S. GAAP”). Any reference in these notes to applicable guidance is meant to refer to authoritative U.S. GAAP as found in the Accounting Standards Codification (“ASC”) and Accounting Standards Updates (“ASU”) of the Financial Accounting Standards Board (“FASB”).</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and in assessing performance. The Company’s CODM is its Chief Executive Officer (“CEO”). The Company operates as a single operating segment and has one reportable segment.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may differ materially from those estimates.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the following: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are used in the following areas, among others: the recognition of research and development expense, stock-based compensation expense and revenue recognition.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All short-term, highly liquid investments with original maturities of 90 days or less are considered to be cash and cash equivalents. The carrying amounts reported in the balance sheets for cash and cash equivalents are valued at cost, which approximates fair value.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cash equivalents and short-term investments. The Company regularly maintains deposits in accredited financial institutions in excess of federally insured limits. The Company invests its excess cash primarily in money market funds, U.S. treasury securities and U.S. government agency securities in accordance with the Company’s investment policy. The Company’s investment policy defines allowable investments and establishes guidelines relating to credit quality, diversification, and maturities of its investments to preserve principal and maintain liquidity. The Company has not experienced any realized losses related to its cash, cash equivalents and short-term investments and management believes the Company is not exposed to significant risks of losses.</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held cash deposits at Silicon Valley Bank (“SVB”) in excess of government insured limits. On March 10, 2023, SVB was closed by the California Department of Financial Protection and Innovation, and the Federal Deposit Insurance Corporation was appointed as receiver. No losses were incurred by the Company on deposits that were held at SVB. Management believes that the Company is not currently exposed to significant credit risk as the vast majority of the Company’s deposits were either owned directly by the Company and held in custody at a third-party financial institution or, subsequent to March 10, 2023, have been transferred to a third-party financial institution. The Company does not currently have any other significant relationships with SVB.</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Short-term investments consist of investments in U.S. treasury and U.S. government agency securities. Management of the Company determines the appropriate classification of the securities at the time they are acquired and evaluates the appropriateness of such classifications at each balance sheet date. The Company classifies its short-term investments as available-for-sale pursuant to ASC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xml:space="preserve"> and reports them at fair value in short-term investments with unrealized gains and losses reported as a component of accumulated other comprehensive income loss on the balance sheet. Realized gains and losses and declines in value judged to be other than temporary are included as a component of interest income based on the specific identification method.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Receivable from Related Party and Unbilled Receivable from Related Party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receivable from related party and unbilled receivable from related party results from option and license agreements with Zenas BioPharma Limited (“Zenas”), a related party. See Notes 12 and 16 for more information. The receivable represents amounts earned and billed to Zenas but not yet collected while unbilled receivable represents amounts estimated to be earned but not yet billed to Zenas. The receivable and unbilled receivable are reported at net realizable value. Management of the Company regularly evaluates the creditworthiness of Zenas and their financial condition and does not require collateral from Zenas. As of December 31, 2022 and 2021, no allowance for doubtful accounts was recorded as all accounts were considered collectible.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using the straight-line method over estimated useful lives of three years for computer equipment and five years for furniture and fixtures. Expenditures for major renewals and betterments that extend the useful lives are capitalized. Expenditures for normal maintenance and repairs are expensed as incurred. The cost of assets sold or abandoned, and the related accumulated depreciation are eliminated from the accounts and any gains or losses are recognized in the accompanying statements of operations and comprehensive loss of the respective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Operating leases are accounted for in accordance with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amended (“ASC 842”). Right-of-use lease assets represent the right to use an underlying asset for the lease term and lease liabilities represent an obligation to make lease payments arising from the lease. The measurement of lease liabilities is based on the present value of future lease payments over the lease term. As the Company’s leases do not provide an implicit rate, management used the Company’s incremental borrowing rate based on the information available at the lease commencement date in determining the present value of future lease payments. The right-of-use asset is based on the measurement of the lease liability and includes any lease payments made prior to or on lease commencement and excludes lease incentives and initial direct costs incurred, as applicable. Rent expense for operating leases is recognized on a straight-line basis over the lease term. The Company does not have any leases classified as finance leases. Management have elected the practical expedient to exclude short-term leases from right-of-use assets and lease liabilities.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leases do not have significant rent escalation, holidays, concessions, material residual value guarantees, material restrictive covenants or contingent rent provisions. The Company’s leases include both lease (e.g., fixed payments including rent, taxes, and insurance costs) and non-lease components (e.g., common-area or other maintenance costs), which are accounted for as a single lease component as management have elected the practical expedient to group lease and non-lease components for all leases.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and disclosures required under ASC 842 are included in Note 8.</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restricted cash is included as a component of cash, cash equivalents and restricted cash in the accompanying statements of cash flows. Restricted cash serves as collateral for a letter of credit securing office space. Restricted cash is recorded within other assets and restricted cash line item in the accompanying balance sheet.</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Convertible preferred stock is recorded at its original issuance price, less direct and incremental offering costs, as stipulated by its terms. The Company has adopted the guidance in ASC 480-10-S99, </w:t>
      </w:r>
      <w:r>
        <w:rPr>
          <w:rFonts w:ascii="Times New Roman" w:cs="Times New Roman" w:eastAsia="Times New Roman" w:hAnsi="Times New Roman"/>
          <w:sz w:val="18"/>
          <w:szCs w:val="18"/>
          <w:i w:val="1"/>
          <w:iCs w:val="1"/>
          <w:color w:val="auto"/>
        </w:rPr>
        <w:t>Distinguishing Liabilities from Equity-Overall-SEC Materials</w:t>
      </w:r>
      <w:r>
        <w:rPr>
          <w:rFonts w:ascii="Times New Roman" w:cs="Times New Roman" w:eastAsia="Times New Roman" w:hAnsi="Times New Roman"/>
          <w:sz w:val="18"/>
          <w:szCs w:val="18"/>
          <w:color w:val="auto"/>
        </w:rPr>
        <w:t>, and has therefore classified the convertible preferred stock outside of stockholders’ equity/(deficit) in the accompanying balance sheets.</w:t>
      </w:r>
    </w:p>
    <w:p>
      <w:pPr>
        <w:spacing w:after="0" w:line="17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early adopted ASU 2020-06,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which reduces complexity in applying U.S. GAAP to certain financial instruments with characteristics of liability and equity. The ASU removes the guidance that requires entities to account for beneficial conversion features and cash conversion features in equity, separately from the host convertible debt or preferred stock. The adoption did not have any impact on the Company’s financial statement presentation or disclosures.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Revenue—Related Party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date, the Company’s only revenue has been attributable to an upfront payment and cost reimbursements under the Company’s license agreement with Zenas. The Company has not generated any revenue from product sales and does not expect to generate any revenue from product sales for the foreseeable future.</w:t>
      </w:r>
    </w:p>
    <w:p>
      <w:pPr>
        <w:spacing w:after="0" w:line="174"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pursuant to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applies to all contracts with customers, except for contracts that are within the scope of other standards. Under ASC 606, an entity recognizes revenue when its customer obtains control of promised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60"/>
          </w:cols>
          <w:pgMar w:left="320" w:top="482" w:right="5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 with a customer; (ii) identify the performance obligations in the contract; (iii) determine the transaction price; (iv) allocate the transaction price to the performance obligations in the contract; and (v) recognize revenue when the performance obligation is satisfied.</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evaluates the performance obligations promised in a contract that are based on goods and services that will be transferred to the customer and determine whether those obligations are both (i) capable of being distinct and (ii)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9"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The Company then allocates the transaction price to each performance obligation and recognizes as revenue the amount of the transaction price that is allocated to the respective performance obligation when (or as) control is transferred to the customer and the performance obligation is satisfied.</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the Company’s balance sheets. If the related performance obligation is expected to be satisfied within the next twelve months this will be classified in current liabilities.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and disclosures required under ASC 606 are included in Note 12.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recorded as expense, as incurred. Research and development expenses consists of (i) costs to engage contractors who specialize in the development activities of the Company; (ii) external research and development costs incurred under arrangements with third parties, such as contract research organizations and consultants; and (iii) costs associated with preclinical activities and regulatory operations.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firms, researchers,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by the service providers and vendors, whereas payments are dictated by the terms of each agreement. As such, depending on the timing of payment relative to the receipt of goods or services, management may record either prepaid expenses or accrued services. These costs consist of direct and indirect costs associated with specific projects, as well as fees paid to various entities that perform certain research on behalf of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Patent costs are expensed as incurred and recorded within general and administrative expenses.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 (</w:t>
      </w:r>
      <w:r>
        <w:rPr>
          <w:rFonts w:ascii="Times New Roman" w:cs="Times New Roman" w:eastAsia="Times New Roman" w:hAnsi="Times New Roman"/>
          <w:sz w:val="18"/>
          <w:szCs w:val="18"/>
          <w:color w:val="auto"/>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the deferred tax assets will not be realized.</w:t>
      </w:r>
    </w:p>
    <w:p>
      <w:pPr>
        <w:spacing w:after="0" w:line="18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2022 and 2021, the Company did not have any material uncertain tax positions. The Company recognizes interest and penalties related to uncertain tax positions, if any exist, in income tax expense.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awards in accordance with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ASC 718 requires all stock-based payments, including grants of stock options and restricted stock, to be recognized in the statements of operations and comprehensive loss based on their fair values. All of the stock-based awards are subject only to service-based vesting conditions. Management estimates the fair value of the stock option awards using the Black-Scholes option pricing model, which requires the input of assumptions, including (a) the fair value of the Company’s common stock, (b) the expected stock price volatility, (c) the calculation of expected term of the award,</w:t>
      </w:r>
    </w:p>
    <w:p>
      <w:pPr>
        <w:spacing w:after="0" w:line="1" w:lineRule="exact"/>
        <w:rPr>
          <w:sz w:val="20"/>
          <w:szCs w:val="20"/>
          <w:color w:val="auto"/>
        </w:rPr>
      </w:pPr>
    </w:p>
    <w:p>
      <w:pPr>
        <w:ind w:left="120" w:right="220" w:hanging="4"/>
        <w:spacing w:after="0" w:line="260" w:lineRule="auto"/>
        <w:tabs>
          <w:tab w:leader="none" w:pos="3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and (e) expected dividends. Management estimates the fair value of the restricted stock awards using the fair value of the Company’s common stock. Forfeitures are recognized as they are incurred.</w:t>
      </w:r>
    </w:p>
    <w:p>
      <w:pPr>
        <w:spacing w:after="0" w:line="18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Management utilizes estimates and assumptions in determining the fair value of the Company’s common stock. Stock options were granted at exercise prices that represented the fair value of the Company’s common stock on the specific grant dates. Management utilized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 Held Company Equity Securities Issued as Compensation</w:t>
      </w:r>
      <w:r>
        <w:rPr>
          <w:rFonts w:ascii="Times New Roman" w:cs="Times New Roman" w:eastAsia="Times New Roman" w:hAnsi="Times New Roman"/>
          <w:sz w:val="18"/>
          <w:szCs w:val="18"/>
          <w:color w:val="auto"/>
        </w:rPr>
        <w:t>, to estimate the fair value of the Company’s common stock. Each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includes estimates and assumptions that require management’s judgment. These estimates and assumptions include a number of objective and subjective factors, including external market conditions, the prices at which the Company sold shares of convertible preferred stock, the superior rights and preferences of the convertible preferred stock senior to the Company’s common stock at the time, and a probability analysis of various liquidity events, such as a public offering or sale of the Company, under differing scenarios. Changes to the key assumptions used in the valuations could result in materially different fair values of common stock at each valuation date.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the lack of a historical public market for the trading of the Company’s common stock and a lack of company-specific historical and implied volatility data, management based its estimate of expected volatility on the historical volatility of a representative group of companies with similar characteristics to the Company, including stage of product development and life science industry focus. Management believes the group selected has sufficient similar economic and industry characteristics and includes companies that are most representative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3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Management used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The risk-free interest rate is based on observed interest rates appropriate for the term of the awards. The dividend yield assumption is based on history and expectation of paying no dividends.</w:t>
      </w:r>
    </w:p>
    <w:p>
      <w:pPr>
        <w:spacing w:after="0" w:line="17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stock-based awards is calculated on a straight-line basis by recognizing the grant date fair value, over the associated service period of the award, which is generally the vesting term.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only component of comprehensive loss other than net loss is change in unrealized losses related to available-for-sale debt securities.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by the weighted average number of shares of common stock outstanding for the period. Diluted net income (loss) per share attributable to common stockholders is computed by dividing net income (loss) by the weighted average number of common shares outstanding for the period, including potential dilutive common shares. For periods in which the Company has reported net losses, diluted net loss per share attributable to common stockholders is the same as basic net loss per share attributable to common stockholders, since dilutive common shares are not assumed to have been issued if their impact is anti-dilutive. Additional information is included in Note 14.</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The new standard adjusts the accounting for assets held at amortized costs basis, including marketable securities accounted for as available for sale. The standard eliminates the probable initial recognition threshold and requires an entity to reflect its current estimate of all expected credit losses. The allowance for credit losses is a valuation account that is deducted from the amortized cost basis of the financial assets to present the net amount expected to be collected. For public entities, the guidance was effective for annual reporting periods beginning after December 15, 2019 and for interim periods within those fiscal years. For nonpublic entities and emerging growth companies that choose to take advantage of the extended transition period, the guidance was effective for annual reporting periods beginning after December 15, 2020. Early adoption is permitted for all entities. In November 2019, the FASB issued ASU No. 2019-10, which deferred the effective date for nonpublic entities and emerging growth companies to annual reporting periods beginning after December 15, 2022, including interim periods within those fiscal years. The Company does not believe the guidance will have a material impact on its financial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short-term investments (in thousands) as of December 31, 2022. There were no short-term investments as of December 31, 2021.</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6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Available-for-sale, short-term investments:</w:t>
            </w:r>
          </w:p>
        </w:tc>
        <w:tc>
          <w:tcPr>
            <w:tcW w:w="1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$ 47,630</w:t>
            </w:r>
          </w:p>
        </w:tc>
        <w:tc>
          <w:tcPr>
            <w:tcW w:w="44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available-for-sale, short-term investments</w:t>
            </w:r>
          </w:p>
        </w:tc>
        <w:tc>
          <w:tcPr>
            <w:tcW w:w="1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$ 60,286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F-14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of December 31, 2022, the available-for-sale securities classified as short-term investments mature in one year or less. Unrealized gains and losses on available-for-sale securities as of December 31, 2022 were not significant and were primarily due to changes in interest rates. There were no significant realized gains or losses recognized on the sale or maturity of available-for-sale investments for the years ended December 31, 2022 and 2021.</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prepaid expenses and other current assets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3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 supplies and services</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$820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6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property and equipment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3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Construction-in-process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6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was $30 thousand for the year ended December 31, 2022. No depreciation expense was recognized during the year ended December 31, 2021 as the assets had not yet been placed in service as of that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Management calculates the fair value of assets and liabilities that qualify as financial instruments and includes additional information in the notes to the financial statements when the fair value is different than the carrying value of these financial instruments. The estimated fair value of accounts receivable, accounts payable and accrued expenses approximate their carrying amounts due to the relatively short maturity of these instruments.</w:t>
      </w:r>
    </w:p>
    <w:p>
      <w:pPr>
        <w:spacing w:after="0" w:line="158"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Company is required to disclose information on all assets and liabilities reported at fair value that enables an assessment of the inputs used in determining the reported fair values. 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defines fair value as the exchange price that would be received for an asset or paid to transfer a liability (an exit price) in the principal or most advantageous market for the asset or liability in an orderly transaction between market participants at the measurement date. ASC 820 establishes a hierarchy of inputs used in measuring fair value that maximizes the use of observable inputs and minimizes the use of unobservable inputs by requiring that the observable inputs be used when available.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the Company. Unobservable inputs are inputs that reflect management’s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valuation techniques that use significant unobservable inputs.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management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has segregated all financial assets and liabilities that are measured at fair value on a recurring basis into the most appropriate level within the fair value hierarchy based on the inputs used to determine the fair value at the measurement date in the table below. The Company’s valuation techniques for its Level 2 financial assets included using quoted prices for similar assets in active markets and quoted prices for similar assets in markets that are not active.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financial assets measured at fair value on a recurring basis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0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Recurring Assets:</w:t>
            </w:r>
          </w:p>
        </w:tc>
        <w:tc>
          <w:tcPr>
            <w:tcW w:w="1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9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11,846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$11,846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1,999</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1,999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20,775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39,350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12,614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59,357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14,613</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0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Recurring Assets:</w:t>
            </w:r>
          </w:p>
        </w:tc>
        <w:tc>
          <w:tcPr>
            <w:tcW w:w="1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9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7,675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$ 7,675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$ 7,675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F-16</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accrued expenses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$4,329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2,084</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6,608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3,993</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leases space under operating leases for administrative offices in New York, New York and Waltham, Massachusetts. The Company also leased office space under operating leases, which had a non-cancelable lease term of less than one year and, therefore, management elected the practical expedient to exclude these short-term leases from right-of-use assets and lease liabilities.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the components of lease costs and rent (in thousands):</w:t>
      </w:r>
    </w:p>
    <w:p>
      <w:pPr>
        <w:spacing w:after="0" w:line="24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left="3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$198</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236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records the operating lease costs within the general and administrative expenses line item in the statements of operations and comprehensive loss during the years ended December 31, 2022 and 2021.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Maturities of operating lease liabilities, which do not include short-term leases, as of December 31, 2022, are as follows (in thousands):</w:t>
      </w:r>
    </w:p>
    <w:p>
      <w:pPr>
        <w:sectPr>
          <w:pgSz w:w="11900" w:h="16838" w:orient="portrait"/>
          <w:cols w:equalWidth="0" w:num="1">
            <w:col w:w="11040"/>
          </w:cols>
          <w:pgMar w:left="320" w:top="482" w:right="539" w:bottom="1440" w:gutter="0" w:footer="0" w:header="0"/>
        </w:sectPr>
      </w:pP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2025</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Total undiscounted operating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24765</wp:posOffset>
            </wp:positionV>
            <wp:extent cx="474916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Long-term lease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43" w:hanging="143"/>
        <w:spacing w:after="0"/>
        <w:tabs>
          <w:tab w:leader="none" w:pos="1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w:t>
      </w:r>
    </w:p>
    <w:p>
      <w:pPr>
        <w:spacing w:after="0" w:line="27" w:lineRule="exact"/>
        <w:rPr>
          <w:rFonts w:ascii="Times New Roman" w:cs="Times New Roman" w:eastAsia="Times New Roman" w:hAnsi="Times New Roman"/>
          <w:sz w:val="18"/>
          <w:szCs w:val="18"/>
          <w:color w:val="auto"/>
        </w:rPr>
      </w:pPr>
    </w:p>
    <w:p>
      <w:pPr>
        <w:ind w:left="1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w:t>
      </w:r>
    </w:p>
    <w:p>
      <w:pPr>
        <w:spacing w:after="0" w:line="9" w:lineRule="exact"/>
        <w:rPr>
          <w:rFonts w:ascii="Times New Roman" w:cs="Times New Roman" w:eastAsia="Times New Roman" w:hAnsi="Times New Roman"/>
          <w:sz w:val="18"/>
          <w:szCs w:val="18"/>
          <w:color w:val="auto"/>
        </w:rPr>
      </w:pPr>
    </w:p>
    <w:p>
      <w:pPr>
        <w:ind w:left="1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54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ind w:left="143"/>
        <w:spacing w:after="0"/>
        <w:rPr>
          <w:sz w:val="20"/>
          <w:szCs w:val="20"/>
          <w:color w:val="auto"/>
        </w:rPr>
      </w:pPr>
      <w:r>
        <w:rPr>
          <w:rFonts w:ascii="Times New Roman" w:cs="Times New Roman" w:eastAsia="Times New Roman" w:hAnsi="Times New Roman"/>
          <w:sz w:val="18"/>
          <w:szCs w:val="18"/>
          <w:color w:val="auto"/>
        </w:rPr>
        <w:t>904</w:t>
      </w:r>
    </w:p>
    <w:p>
      <w:pPr>
        <w:spacing w:after="0" w:line="27"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54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8"/>
          <w:szCs w:val="18"/>
          <w:u w:val="single" w:color="auto"/>
          <w:color w:val="auto"/>
        </w:rPr>
        <w:t>$ 788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654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367" w:lineRule="exact"/>
        <w:rPr>
          <w:sz w:val="20"/>
          <w:szCs w:val="20"/>
          <w:color w:val="auto"/>
        </w:rPr>
      </w:pPr>
    </w:p>
    <w:p>
      <w:pPr>
        <w:ind w:left="143" w:hanging="143"/>
        <w:spacing w:after="0"/>
        <w:tabs>
          <w:tab w:leader="none" w:pos="1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w:t>
      </w:r>
    </w:p>
    <w:p>
      <w:pPr>
        <w:spacing w:after="0" w:line="27" w:lineRule="exact"/>
        <w:rPr>
          <w:rFonts w:ascii="Times New Roman" w:cs="Times New Roman" w:eastAsia="Times New Roman" w:hAnsi="Times New Roman"/>
          <w:sz w:val="18"/>
          <w:szCs w:val="18"/>
          <w:color w:val="auto"/>
        </w:rPr>
      </w:pPr>
    </w:p>
    <w:p>
      <w:pPr>
        <w:ind w:left="1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54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8"/>
          <w:szCs w:val="18"/>
          <w:u w:val="single" w:color="auto"/>
          <w:color w:val="auto"/>
        </w:rPr>
        <w:t>$ 788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654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17" w:space="720"/>
            <w:col w:w="2203"/>
          </w:cols>
          <w:pgMar w:left="320" w:top="482" w:right="539" w:bottom="1440" w:gutter="0" w:footer="0" w:header="0"/>
          <w:type w:val="continuous"/>
        </w:sectPr>
      </w:pPr>
    </w:p>
    <w:p>
      <w:pPr>
        <w:spacing w:after="0" w:line="7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operating leases was 30 months and the weighted-average discount rate used to measure the present value of operating lease liabilities was 10.3% as of December 31, 2022.</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40"/>
          </w:cols>
          <w:pgMar w:left="320" w:top="482" w:right="5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was authorized to issue 33,336,283 and 10,329,266 shares of preferred stock, respectively, par value $0.0001 per share.</w:t>
      </w:r>
    </w:p>
    <w:p>
      <w:pPr>
        <w:spacing w:after="0" w:line="160"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Series Seed 1: </w:t>
      </w:r>
      <w:r>
        <w:rPr>
          <w:rFonts w:ascii="Times New Roman" w:cs="Times New Roman" w:eastAsia="Times New Roman" w:hAnsi="Times New Roman"/>
          <w:sz w:val="17"/>
          <w:szCs w:val="17"/>
          <w:color w:val="auto"/>
        </w:rPr>
        <w:t>On July 19, 2019, the Company executed a Series Seed 1 Convertible Preferred Stock Purchase Agreement (“Series Seed 1”).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this agreement, the Company issued 1,642,500 shares of Series Seed Convertible Preferred Stock, at a price of $1.00 per share. Gross proceeds from the issuance were approximately $1.6 million. The Series Seed 1 provided for an additional closing to the same investors upon the approval of the Company’s Board of Directors. On April 22, 2020, the Company completed an additional closing and issued an additional 1,857,500 shares of Series Seed 1 Convertible Preferred Stock, at a price of $1.00 per share. Gross proceeds from this issuance were approximately $1.9 million.</w:t>
      </w:r>
    </w:p>
    <w:p>
      <w:pPr>
        <w:spacing w:after="0" w:line="17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December 1, 2020, the Company executed an amendment to the Series Seed 1 providing for a third closing which was completed on the same date. In connection with this amendment, the Company issued 3,000,000 shares of Series Seed 1 Convertible Preferred Stock, at a price of $1.00 per share. Gross proceeds from the third closing issuance were $3.0 million. This amendment provided for a potential fourth closing, which did not occur.</w:t>
      </w:r>
    </w:p>
    <w:p>
      <w:pPr>
        <w:spacing w:after="0" w:line="156"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Series Seed 2: </w:t>
      </w:r>
      <w:r>
        <w:rPr>
          <w:rFonts w:ascii="Times New Roman" w:cs="Times New Roman" w:eastAsia="Times New Roman" w:hAnsi="Times New Roman"/>
          <w:sz w:val="18"/>
          <w:szCs w:val="18"/>
          <w:color w:val="auto"/>
        </w:rPr>
        <w:t>In May 2021, the Company executed a Series Seed 2 Convertible Preferred Stock Purchase Agreement (“Series Seed 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this agreement, the Company issued 3,829,265 shares of Series Seed 2 Convertible Preferred Stock, at a price of $3.9172 per share. Gross proceeds from the issuance were $15.0 million.</w:t>
      </w:r>
    </w:p>
    <w:p>
      <w:pPr>
        <w:spacing w:after="0" w:line="17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Series A: </w:t>
      </w:r>
      <w:r>
        <w:rPr>
          <w:rFonts w:ascii="Times New Roman" w:cs="Times New Roman" w:eastAsia="Times New Roman" w:hAnsi="Times New Roman"/>
          <w:sz w:val="18"/>
          <w:szCs w:val="18"/>
          <w:color w:val="auto"/>
        </w:rPr>
        <w:t>In April 2022, the Company executed a Series A Convertible Preferred Stock Purchase Agreement (“Series A”). In connection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Company issued 23,007,017 shares of Series A Convertible Preferred Stock, at a price of $4.3465 per share. Gross proceeds from the issuance were $100.0 million.</w:t>
      </w:r>
    </w:p>
    <w:p>
      <w:pPr>
        <w:spacing w:after="0" w:line="175"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Series Seed 1, Series Seed 2 and Series A preferred stock are collectively referred to as “Preferred Stock” and have the following characteristics: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holders of Preferred Stock are entitled to receive dividends, as specified in the Company’s Amended and Restated Certificate of Incorporation (the “Certificate of Incorporation”), if and when declared by the Company’s Board of Directors. The Series Seed preferred stockholders are entitled to receive dividends at a rate of $0.06 per annum per share. The Series Seed 2 preferred stockholders are entitled to receive dividends at a rate of $0.235 per annum per share. The Series A preferred stockholders are entitled to receive dividends at a rate of $0.2608 per annum per share. Such dividends are not cumulative. Since the Company’s inception, no dividends have been declared or paid to the holders of Preferred Stock.</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or winding up</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(as defined in the Certificate of Incorporation), the holders of the Preferred Stock have first priority to be paid an amount equal to the greater of (i) the respective Preferred Stock issuance price plus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dividends declared but unpaid or (ii) such amounts that would have been owed to the holders of Preferred Stock if the Preferred Stock shares had been converted to common stock prior to the liquidation event. Following payment to the holders of Preferred Stock, all remaining assets of the Company will be distributed to the common stock shareholders on a pro rata basis.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Each share of Preferred Stock is convertible, at the option of the holder thereof, at any time and from time to time, and without the payment of additional consideration by the holder thereof, into such number of fully paid and non-assessable shares of common stock on the terms set forth in the Certificate of Incorporation.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Mandatory conversion shall occur upon either (a) the closing of the sale of shares of common stock to the public at a price of at least $8.6930 per share (subject to appropriate adjustment as defined in the Certificate of Incorporation), in a firm-commitment underwritten public offering pursuant to an effective registration statement under the Securities Act of 1933, as amended, resulting in at least $40.0 million of gross proceeds to the Company and in connection with such offering the Common Stock is listed for trading on the Nasdaq Stock Market’s National Market, the New York Stock Exchange or another exchange or marketplace approved the Company’s Board of Directors, or (b) the date and time, or the occurrence of an event, specified by vote or written consent of the Requisite Holders (as defined in the Certificate of Incorporation).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Shares of Preferred Stock are not redeemable at the election of the holder thereof. Any shares of Preferred Stock that are redeemed or otherwise acquired by the Company shall be automatically and immediately cancelled and retired (as defined in the Certificate of Incorporation).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Adjustment of conversion price upon issuance of additional shares of common stock</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In the event the Company issues additional shares of common stock without consideration or consideration less than the Preferred Stock conversion price in effect immediately prior to such issuance, then the Preferred Stock conversion price shall be adjusted in accordance with the adjustment formula (as set forth in the Certificate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Stockholders’ Equity/(Deficit)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was authorized to issue 8,722,279 and 3,706,968 shares of common stock, respectively, with a par value of $0.0001 per share. In January 2023, the Company amended its Certificate of Incorporation to increase the authorized common stock to 9,837,322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Stock has the following characteristics: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of common stock held at all meetings of stockholders (and written actions in lieu of meetings);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and when declared by the Company’s Board of Directors. Since the Company’s inception, no dividends have been declared or paid to the holders of common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or winding up</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remaining assets, following priority payments to the Company’s preferred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July 2019, the Company’s Board of Directors adopted, and the stockholders approved, the Dianthus Therapeutics, Inc. 2019 Stock Plan (the “2019 Plan”). As of December 31, 2022, there were 1,691,208 shares of common stock reserved under the 2019 Plan for issuance to officers, employees, consultants, and directors of the Company. The 2019 Plan is administered by the Compensation Committee of the Company’s Board of Directors.</w:t>
      </w:r>
    </w:p>
    <w:p>
      <w:pPr>
        <w:spacing w:after="0" w:line="158"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issued 1,273,454 awards from the 2019 Plan and had 417,755 shares available for future grant. Shares that are expired, terminated, surrendered, or canceled under the 2019 Plan without having been fully exercised will be available for future awards.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exercise price for stock options is determined at the discretion of the Compensation Committee of the Company’s Board of Directors. All stock options granted to any person possessing less than 10% of the total combined consolidated voting power of all classes of stock may not have an exercise price of less than 100% of the fair market value of the common stock on the grant date. All stock options granted to any person possessing more than 10% of the total combined consolidated voting power of all classes of stock may not have an exercise price of less than 110% of the fair market value of the common stock on the grant date. The option term may not be greater than ten years from the date of the grant. Stock options granted to persons possessing more than 10% of the total combined consolidated voting power of all classes of stock may not have an option term of greater than five years from the date of the grant.</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vesting period for equity-based awards is determined at the discretion of the Compensation Committee of the Company’s Board of Directors, which is generally four years. For awards granted to employees and non-employees with four-year vesting terms, vesting is generally either:</w:t>
      </w:r>
    </w:p>
    <w:p>
      <w:pPr>
        <w:spacing w:after="0" w:line="67" w:lineRule="exact"/>
        <w:rPr>
          <w:sz w:val="20"/>
          <w:szCs w:val="20"/>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 vests on the first anniversary of the grant date and the remaining stock vest equally each month for three years thereafter,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vesting on a monthly basis, on the last day of the month following the vesting commencement date.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to determine the grant-date fair value of stock options granted, presented on a weighted average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5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9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3.08%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5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54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87.28%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87.67%</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346"/>
        </w:trPr>
        <w:tc>
          <w:tcPr>
            <w:tcW w:w="2900" w:type="dxa"/>
            <w:vAlign w:val="bottom"/>
          </w:tcPr>
          <w:p>
            <w:pPr>
              <w:spacing w:after="0"/>
              <w:rPr>
                <w:sz w:val="24"/>
                <w:szCs w:val="24"/>
                <w:color w:val="auto"/>
              </w:rPr>
            </w:pPr>
          </w:p>
        </w:tc>
        <w:tc>
          <w:tcPr>
            <w:tcW w:w="4540" w:type="dxa"/>
            <w:vAlign w:val="bottom"/>
            <w:gridSpan w:val="3"/>
          </w:tcPr>
          <w:p>
            <w:pPr>
              <w:jc w:val="right"/>
              <w:ind w:right="3080"/>
              <w:spacing w:after="0"/>
              <w:rPr>
                <w:sz w:val="20"/>
                <w:szCs w:val="20"/>
                <w:color w:val="auto"/>
              </w:rPr>
            </w:pPr>
            <w:r>
              <w:rPr>
                <w:rFonts w:ascii="Times New Roman" w:cs="Times New Roman" w:eastAsia="Times New Roman" w:hAnsi="Times New Roman"/>
                <w:sz w:val="18"/>
                <w:szCs w:val="18"/>
                <w:color w:val="auto"/>
              </w:rPr>
              <w:t>F-20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6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fair value of $4.31 per share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248,603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248,603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5.92</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fair value of $6.24 per share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1,031,567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8.44</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7.55</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1,273,454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95</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9.3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6"/>
              </w:rPr>
              <w:t>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2022</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181,171</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7.18</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Unvested options at December 31, 2022</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1,092,283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8.08</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common stock for those options that had exercise prices lower than the fair value of the common stock.</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years ended December 31, 2022 and 2021 was $6.24 and $4.31,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April 2020, the Company executed a restricted stock award agreement with a consultant to purchase 3,052 shares of common stock at an exercise price of $0.14 per share. The restricted stock award vests over a four-year requisite service period, with 25% vesting on the first anniversary of the vesting commencement date and 2.0833% per month thereafter. The agreement contains restrictions on the ability to sell, assign or pledge the shares awarded. The restricted stock agreement contains a right of repurchase whereby, at the election of the Company, the Company may purchase back all unvested stock should the relationship between the recipient and the Company cease. The fair value of the Company’s common stock on the date of the award was $0.14 per share.</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did not issue any restricted stock during the years ended December 31, 2022 and 2021. As of December 31, 2022, a total of approximately 2,417 shares of restricted common stock were vested and approximately 635 shares remained unvested. As of December 31, 2022, the unrecognized stock-based compensation expense for the restricted award was immaterial.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April 2021, the Company issued 4,677 warrants for the purchase of common stock at an exercise price of $1.65 per share. The warrants vest over a four-year period on a straight-line basis and have a grant date fair value of $1.16 per warrant.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assumptions used to determine the fair value of the warrants were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68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82.80%</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346"/>
        </w:trPr>
        <w:tc>
          <w:tcPr>
            <w:tcW w:w="2680" w:type="dxa"/>
            <w:vAlign w:val="bottom"/>
          </w:tcPr>
          <w:p>
            <w:pPr>
              <w:spacing w:after="0"/>
              <w:rPr>
                <w:sz w:val="24"/>
                <w:szCs w:val="24"/>
                <w:color w:val="auto"/>
              </w:rPr>
            </w:pPr>
          </w:p>
        </w:tc>
        <w:tc>
          <w:tcPr>
            <w:tcW w:w="48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F-21</w:t>
            </w:r>
          </w:p>
        </w:tc>
      </w:tr>
    </w:tbl>
    <w:p>
      <w:pPr>
        <w:sectPr>
          <w:pgSz w:w="11900" w:h="16838" w:orient="portrait"/>
          <w:cols w:equalWidth="0" w:num="1">
            <w:col w:w="11080"/>
          </w:cols>
          <w:pgMar w:left="320" w:top="482"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did not issue any warrants during the year ended December 31, 2022. As of December 31, 2022, the warrants have a weighted average remaining contractual term of 8.3 years and a remaining weighted average vesting period of 7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stock-based compensation expense related to stock options, restricted stock, and warrants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73"/>
        </w:trPr>
        <w:tc>
          <w:tcPr>
            <w:tcW w:w="4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$ 19</w:t>
            </w:r>
          </w:p>
        </w:tc>
        <w:tc>
          <w:tcPr>
            <w:tcW w:w="4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1,102</w:t>
            </w:r>
          </w:p>
        </w:tc>
        <w:tc>
          <w:tcPr>
            <w:tcW w:w="54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3"/>
              </w:rPr>
              <w:t>1,518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$ 63</w:t>
            </w: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there was $5.9 million of total unrecognized compensation cost related to stock options granted under the 2019 Plan.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expects to recognize that cost over a remaining weighted-average period of 3.2 years.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License Revenue—Related Party</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an Option Agreement with Zenas (“Zenas Option”), a related party (See Note 16). Through the Zenas Option, the Company provided Zenas an option to enter into an exclusive license agreement for the development and commercialization of products arising from its research of monoclonal antibody antagonists targeting certain specific complement proteins.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September 2021, the Company notified Zenas that it had elected the first antibody sequence as a clinical candidate. In October 2021, Zenas notified the Company that it was exercising its option for such clinical candidate. The Zenas Option provided that upon the exercise of the option, the Company would negotiate in good faith a license agreement with Zenas pursuant to which it would grant Zenas the exclusive license with respect to the antibody sequences for the Zenas Territory, which includes People’s Republic of China, including Hong Kong, Macau, and Taiwan. In accordance with Zenas Option, within 60 days following the execution of a license agreement, Zenas agreed to pay the Company a one-time payment of $1.0 million for the exercise of the corresponding option. In addition, in connection with the exercise of the Zenas Option, Zenas was required to reimburse the Company for a portion of chemistry, manufacturing, and controls-related (“CMC”) costs and expenses from the date of delivery of its option exercise notice through the execution of a license agreement.</w:t>
      </w:r>
    </w:p>
    <w:p>
      <w:pPr>
        <w:spacing w:after="0" w:line="19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June 2022, the Company and Zenas executed the license agreement (“Zenas License”). The Zenas Option and Zenas License are collectively referred to as the “Zenas Agreements”. The Zenas License provides Zenas with a license in the People’s Republic of China, including Hong Kong, Macau, and Taiwan, for the development and commercialization of sequences and products under the first antibody sequence. The Company is also obligated to perform certain research and development and CMC services, and will also participate in a joint steering committee (“JSC”). Under the Zenas License, Zenas also has the right to exercise an option with respect to a second antibody sequence. If Zenas exercises the option and pays the Company the option exercise fee related to the second antibody sequence, the Company will grant Zenas an exclusive license to the sequences and products under this second antibody sequence.</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Since the Zenas Agreements were negotiated with a single commercial objective, they are treated as a combined contract for accounting purposes. The Company assessed the Zenas Agreements in accordance with ASC 606 and concluded that it represents a contract with a customer and is within the scope of ASC 606. The Company determined that there is one combined performance obligation that consists of the license and data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82"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transfer, the research and development and CMC services, and the participation in the JSC. The Company determined that Zenas’ right to exercise an option with respect to a second antibody sequence does not represent a material right.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consideration under the Zenas Agreements includes the following payments by Zenas to the Company: (i) a $1 million upfront payment upon execution of the Zenas License; (ii) an approximate $1.1 million payment representing reimbursement for a portion of development costs previously incurred by the Company; (iii) reimbursement of a portion of all CMC-related costs and expenses for the first antibody sequence through the manufacture of the first two batches of drug product; (iv) reimbursement of a portion of all non-CMC-related costs and expenses for the development of the first antibody sequence through the first regulatory approval; (v) development milestones totaling up to $11 million; and (vi) royalties on net sales ranging from the mid-single digits to the low teens.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determined that the combined performance obligation is satisfied over time; therefore, the Company will recognize the transaction price from the license agreement over the Company’s estimated period to complete its activities. The Company concluded that it will utilize a cost-based input method to measure its progress toward completion of its performance obligation and to calculate the corresponding amount of revenue to recognize each period. The Company believes this is the best measure of progress because other measures do not reflect how the Company transfers its performance obligation to Zenas. In applying the cost-based input method of revenue recognition, the Company uses actual costs incurred relative to budgeted costs expected to be incurred for the combined performance obligation. These costs consist primarily of third-party contract costs. Revenue will be recognized based on the level of costs incurred relative to the total budgeted costs for the combined performance obligation. A cost-based input method of revenue recognition requires management to make estimates of costs to complete the Company’s performance obligation. In making such estimates, judgment is required to evaluate assumptions related to cost estimates.</w:t>
      </w:r>
    </w:p>
    <w:p>
      <w:pPr>
        <w:spacing w:after="0" w:line="188"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Company also determined that the milestone payments of $11 million are variable consideration under ASC 606 which need to be added to the transaction price when it is probable that a significant revenue reversal will not occur. Based on the nature of the milestones, such as the regulatory approvals which are generally not within the Company’s control, the Company will not consider achievement of this milestone to be probable until the uncertainty associated with such milestone has been resolved. When it is probable that a significant reversal of revenue will not occur, the milestone payment will be added to the transaction price for which the Company recognizes revenue. As of December 31, 2022, no milestones had been achieved.</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is a sales or usage-based royalty exception within ASC 606 that applies when a license of intellectual property is the predominant item to which the royalty relates. In accordance with this royalty exception, the Company will recognize royalty revenue at the later of (i) when the related sales occur, or (ii) when the performance obligation to which some or all of the royalty has been allocated has been satisfied (or partially satisfied). As of December 31, 2022, no royalty revenue has been recognized.</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related party license revenue totaling $6.4 million and $1.5 million, respectively, associated with the Zenas Agreements. As of December 31, 2022, the Company recorded a related party receivable of $4.7 million, unbilled related party receivable of $0.9 million, current deferred related party revenue of $0.1 million and noncurrent deferred related party revenue of $0.8 million on its balance sheet.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recorded no current or deferred income tax expenses or benefits as it has incurred losses since inception and has provided a full valuation allowance against its deferred tax assets.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5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0" w:type="dxa"/>
            <w:vAlign w:val="bottom"/>
          </w:tcPr>
          <w:p>
            <w:pPr>
              <w:spacing w:after="0"/>
              <w:rPr>
                <w:sz w:val="18"/>
                <w:szCs w:val="18"/>
                <w:color w:val="auto"/>
              </w:rPr>
            </w:pP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tax credits</w:t>
            </w:r>
          </w:p>
        </w:tc>
        <w:tc>
          <w:tcPr>
            <w:tcW w:w="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deferred tax asset valuation allowance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net deferred tax assets (in thousands):</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5,383</w:t>
            </w:r>
          </w:p>
        </w:tc>
        <w:tc>
          <w:tcPr>
            <w:tcW w:w="5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4,315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Organizational costs</w:t>
            </w: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(11,566)</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(5,194)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lease assets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approximately $24.5 million, all of which have no expiration date and can be carried forward indefinitely; however, they are limited to a deduction to 80% of annual taxable income. The Company had state tax net operating loss carryforwards of approximately $20.1 million, which begin to expire in 2038.</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assets, management considers all relevant positive and negative evidence in determining whether it is more likely than not that some portion or all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0860"/>
          </w:cols>
          <w:pgMar w:left="320" w:top="482" w:right="7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2022 and 2021 related primarily to the increase in net operating loss carryforwards, capitalized research and development expenses and research tax credit carryforwards. During the year ended December 31, 2022, capitalized research and development expenses increased pursuant to Section 174 of the Internal Revenue Code of 1986, as amended (the “Code”). The changes in the valuation allowance for the years ended December 31, 2022 and 2021 and were as follows (in thousands):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7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increases recorded to income tax provision</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3,887</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11,566</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5,194</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operating loss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yet conducted a study to determine if any such changes have occurred that could limit the ability to use the net operating loss carryforwards.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2022 or 2021. The Company will recognize interest and penalties related to uncertain tax positions, if any, in income tax expense. As of December 31, 2022 and 2021, the Company had no accrued interest or penalties related to uncertain tax positions.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common share were calculated as follows (in thousands, except share and per share data):</w:t>
      </w:r>
    </w:p>
    <w:p>
      <w:pPr>
        <w:spacing w:after="0" w:line="24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(28,476)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(13,109)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875,279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875,279</w:t>
            </w: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weighted-average unvested restricted shares of common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(1,808)</w:t>
            </w:r>
          </w:p>
        </w:tc>
      </w:tr>
      <w:tr>
        <w:trPr>
          <w:trHeight w:val="205"/>
        </w:trPr>
        <w:tc>
          <w:tcPr>
            <w:tcW w:w="60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Weighted-average shares used to compute net loss per common share, basic</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874,234</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873,471</w:t>
            </w: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(32.57)</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(15.01)</w:t>
            </w: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convertible preferred stock, stock options, unvested restricted shares of common stock, and warrants for the purchase of common stock, have been excluded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from the computation of diluted net loss per share as the effect would be antidilutive. Therefore, the weighted-average number of common shares outstanding used to calculate both basic and diluted net loss per share is the same. The following potential dilutive securities, presented on an as converted basis, were excluded from the calculation of net loss per share due to their anti-dilutive effect:</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7,269,183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2,252,357</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1,273,454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248,603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4,677</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8,547,949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2,507,035</w:t>
            </w:r>
          </w:p>
        </w:tc>
      </w:tr>
      <w:tr>
        <w:trPr>
          <w:trHeight w:val="20"/>
        </w:trPr>
        <w:tc>
          <w:tcPr>
            <w:tcW w:w="6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Alloy Therapeutics, LLC: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2019, the Company entered into a license agreement with Alloy Therapeutics, LLC (“Alloy”). The license agreement was amended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2022. The license agreement with Alloy grants to the Company the following:</w:t>
      </w:r>
    </w:p>
    <w:p>
      <w:pPr>
        <w:spacing w:after="0" w:line="112" w:lineRule="exact"/>
        <w:rPr>
          <w:sz w:val="20"/>
          <w:szCs w:val="20"/>
          <w:color w:val="auto"/>
        </w:rPr>
      </w:pPr>
    </w:p>
    <w:p>
      <w:pPr>
        <w:ind w:left="1080" w:right="2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non-exclusive license to use the Alloy technology solely to generate Alloy antibodies and platform assisted antibodies for internal, non-clinical research purposes,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9" w:lineRule="auto"/>
        <w:tabs>
          <w:tab w:leader="none" w:pos="10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Alloy antibodies and platform assisted antibodies that are selected by the Company for inclusion into a partnered antibody program, a worldwide, assignable license to make, have made, use, offer for sale, sell, import, develop, manufacture, and commercialize products comprising partnered antibody programs selected from Alloy antibodies and platform assisted antibodies in any field of use.</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pays annual license fees and annual partnered antibody program fees totaling $0.1 million to Alloy. The Company is also obligated to pay a $0.1 million fee to Alloy if the Company sublicenses a product developed with Alloy antibodies or platform assisted antibodies. Upon the achievement, with the first selected antibody for products developed with Alloy, of (i) certain development milestones and (ii) certain commercial milestones, the Company is obligated to make additional payments to Alloy of up to $1.8 million and $11.0 million, respectively. Upon the achievement, with the second selected antibody for products developed with Alloy, of (i) certain development milestones and (ii) certain commercial milestones, the Company is obligated to make additional payments to Alloy of up to $3.1 million and $15.0 million, respectively. The Company recorded $0.5 million and $0.1 million for amounts owed under the Alloy license agreement within the research and development expenses line item in the statements of operations and comprehensive loss during the years ended December 31, 2022 and 2021, respectively.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Crystal Bioscience, Inc. and OmniAb, Inc.: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2022, the Company entered into a commercial platform license agreement and services agreement with Crystal Bioscience,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(“Crystal”) and OmniAb, Inc. (“OmniAb”), both subsidiaries of Ligand Pharmaceuticals Incorporated (collectively, “Ligand”).</w:t>
      </w:r>
    </w:p>
    <w:p>
      <w:pPr>
        <w:spacing w:after="0" w:line="112" w:lineRule="exact"/>
        <w:rPr>
          <w:sz w:val="20"/>
          <w:szCs w:val="20"/>
          <w:color w:val="auto"/>
        </w:rPr>
      </w:pPr>
    </w:p>
    <w:p>
      <w:pPr>
        <w:ind w:left="1080" w:right="1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Crystal granted the Company a worldwide, non-exclusive, non-sublicensable license under the Crystal technology to use chicken animals (solely at Crystal’s facilities and through Crystal personnel) for generation of OmniAb Antibodies for research purposes.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OmniAb granted the Company a worldwide, non-exclusive license under the OmniAb technology to use rodent animals (solely at approved CRO facilities and through approved CRO personnel) for generation of OmniAb Antibodies for research purposes. Such license is non-sublicensable except to an approved contract research organization.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achievement of certain development milestones, the Company is obligated to make additional payments to Ligand of up to</w:t>
      </w:r>
    </w:p>
    <w:p>
      <w:pPr>
        <w:spacing w:after="0" w:line="27" w:lineRule="exact"/>
        <w:rPr>
          <w:sz w:val="20"/>
          <w:szCs w:val="20"/>
          <w:color w:val="auto"/>
        </w:rPr>
      </w:pPr>
    </w:p>
    <w:p>
      <w:pPr>
        <w:jc w:val="both"/>
        <w:ind w:left="120" w:right="220"/>
        <w:spacing w:after="0" w:line="255" w:lineRule="auto"/>
        <w:rPr>
          <w:sz w:val="20"/>
          <w:szCs w:val="20"/>
          <w:color w:val="auto"/>
        </w:rPr>
      </w:pPr>
      <w:r>
        <w:rPr>
          <w:rFonts w:ascii="Times New Roman" w:cs="Times New Roman" w:eastAsia="Times New Roman" w:hAnsi="Times New Roman"/>
          <w:sz w:val="18"/>
          <w:szCs w:val="18"/>
          <w:color w:val="auto"/>
        </w:rPr>
        <w:t>$12.2 million. Upon the achievement of certain commercial milestones, the Company is obligated to make royalty payments in the low to mid-single digits. The Company has recorded $0.1 million for amounts owed under the Ligand license agreement within research and development expenses line item in the statement of operations and comprehensive loss during the year ended December 31, 2022.</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IONTAS Limited:</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July 2020, the Company entered into a collaborative research agreement with IONTAS Limited (“IONTAS”) to perform certain milestone-based research and development activities for the Company under its first development program. This agreement was amended in January 2023 to extend their services to additional development programs. IONTAS provides dedicated resources to perform the research and development activities and receives compensation for those resources as well as success-based milestone payments.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achievement, with the first development program with IONTAS, of (i) certain development milestones and (ii) certain commercial milestones, the Company is obligated to make additional payments to IONTAS of up to £3.1 million and £2.3 million, respectively. Upon the achievement, with the second development program with IONTAS, of certain development milestones, the Company is obligated to make additional payments to IONTAS of up to £2.5 million. The Company has recorded $1.7 million and $2.7 million for amounts owed under the IONTAS collaborative research license agreement within the research and development expenses line item in the statements of operations and comprehensive loss during the years ended December 31, 2022 and 2021, respectively.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employees, consultants, vendors, business partners and other parties with respect to certain matters including, but not limited to, losses arising out of breach of such agreements or from intellectual property infringement claims made by third parties. To date, the Company has not incurred any material costs as a result of such indemnification agreements. The Company is not aware of any indemnification arrangements that could have a material effect on its financial position, results of operations or cash flows, and has not accrued any liabilities related to such obligations in its financial statements as of December 31, 2022 or 2021.</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exposed to litigation relating to potential products and operations. The Company is not currently engaged in any legal proceedings that are expected, individually or in the aggregate, to have a material adverse effect on its financial condition, results of operations or cash flows.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standing agreements with consultants, contractors or service providers whose terms do not yield material long-term commitments.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Viridian, LLC:</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June 2019, the Company entered into a Technology Assignment Agreement (the “TAA”) with Viridian, LLC (“Viridian”), a related party. The Company considers Viridian to be a related party because two of its members have a seat on the Board of Directors of the Company. The TAA assigns to the Company exclusively throughout the world all rights, title, and interest to all technology and know-how applicable to the research, development, commercialization, and manufacturing of human therapeutic products that target a specific protein. In exchange for the TAA, the Company issued to Viridian 872,227 shares of the Company’s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with a fair value of $0.09 per share. There are no future obligations to Viridian in connection with the TAA. As of December 31, 2022 and 2021, Viridian owned approximately 13% and 35%, respectively, of the Company’s outstanding shares (assuming the conversion of all preferred stock into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Zenas BioPharma Limited: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 party to option and license agreements with Zenas, a related party. The Company considers Zenas to be a related party because</w:t>
      </w:r>
    </w:p>
    <w:p>
      <w:pPr>
        <w:spacing w:after="0" w:line="27" w:lineRule="exact"/>
        <w:rPr>
          <w:sz w:val="20"/>
          <w:szCs w:val="20"/>
          <w:color w:val="auto"/>
        </w:rPr>
      </w:pPr>
    </w:p>
    <w:p>
      <w:pPr>
        <w:ind w:left="120" w:right="100" w:hanging="4"/>
        <w:spacing w:after="0" w:line="251" w:lineRule="auto"/>
        <w:tabs>
          <w:tab w:leader="none" w:pos="3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Tellus BioVentures LLC (“Tellus”), whose sole member is a significant shareholder in the Company and serves as Chairman of the Board of Directors of the Company, is also a significant shareholder in Zenas and serves as Executive Chairman of the Board of Directors of Zenas and (ii) the Fairmount Funds, who are significant shareholders in the Company and have a seat on the Board of Directors of the Company, are also significant shareholders in Zenas and have a seat on the Board of Directors of Zenas. As of December 31, 2022 and 2021, Tellus and affiliated entities owned approximately 17% and 42%, respectively, and Fairmount Funds and affiliated entities owned approximately 14% and 13%, respectively, of the Company’s outstanding shares (assuming the conversion of all preferred stock into common stock). See Note 12 for more information. In connection with these agreements, the Company recognized $6.4 million and $1.5 million within the license revenue—related party line item in the statements of operations and comprehensive loss for the years ended December 31, 2022 and 2021, respectively. As of December 31, 2022, the Company recorded a related party receivable of $4.7 million, unbilled related party receivable of $0.9 million, current deferred related party revenue of $0.1 million and noncurrent deferred related party revenue of $0.8 million on its balance sheet. As of December 31, 2021, the Company recorded a related party receivable of $0.5 million and unbilled related party receivable of $1.0 million on its balance sheet.</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2020, Zenas issued 156,848 common shares to the Company in exchange for the Zenas Option. The Company determined that the fair value on the date of issuance and as of December 31, 2022 and 2021, respectively, was not material to its financial statements. The Company used the measurement alternative as the measurement attribute for accounting for the Zenas common shares which does not require it to assess the fair value of the common stock at each reporting period as the fair value of the Zenas common shares is not readily determinable nor is there a reliable source for observable transactions from which the Company could determine a fair value. In addition, the Company does not have ready access to significant events occurring at Zenas. If the Company does identify observable price changes in orderly transactions for the identical or similar common shares of Zenas, the Company will measure the common shares at fair value as of the date that the observable transaction occurred.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May 15, 2023, the date which the financial statements were available to be issued and determined that there were no additional subsequent events requiring recording or disclosure in the Company’s financial statements except as noted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issued 209,046 stock option awards from the 2019 Plan during the period January 1, 2023 until May 15, 2023.</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82"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157,282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15,365</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32,588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60,125</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4,700</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 from related party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r>
      <w:tr>
        <w:trPr>
          <w:trHeight w:val="22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191,453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82,033</w:t>
            </w:r>
          </w:p>
        </w:tc>
        <w:tc>
          <w:tcPr>
            <w:tcW w:w="12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restricted 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12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6,608</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revenue—related party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13,079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8,225</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revenue—related party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Pr>
          <w:p>
            <w:pPr>
              <w:spacing w:after="0"/>
              <w:rPr>
                <w:sz w:val="19"/>
                <w:szCs w:val="19"/>
                <w:color w:val="auto"/>
              </w:rPr>
            </w:pPr>
          </w:p>
        </w:tc>
      </w:tr>
      <w:tr>
        <w:trPr>
          <w:trHeight w:val="75"/>
        </w:trPr>
        <w:tc>
          <w:tcPr>
            <w:tcW w:w="8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par value per share – $0.0001; authorized shares – none and 33,336,283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respectively; issued and outstanding – none and 33,336,282 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respectively; liquidation preference – none and $121,500 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118,024</w:t>
            </w:r>
          </w:p>
        </w:tc>
      </w:tr>
      <w:tr>
        <w:trPr>
          <w:trHeight w:val="75"/>
        </w:trPr>
        <w:tc>
          <w:tcPr>
            <w:tcW w:w="8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per share – $0.001; authorized shares – 10,000,000 and none at 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and December 31, 2022, respectively; issued and outstanding shares – none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5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per share—$0.001 and $0.0001 at September 30, 2023 and December 31, 2022,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 authorized shares – 150,000,000 and 8,722,279 at September 30, 2023 and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2022, respectively; issued and outstanding shares – 14,817,762 and 875,279 at September 30, 2023 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257,230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(78,860)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(45,868)</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(44,368)</w:t>
            </w:r>
          </w:p>
        </w:tc>
      </w:tr>
      <w:tr>
        <w:trPr>
          <w:trHeight w:val="223"/>
        </w:trPr>
        <w:tc>
          <w:tcPr>
            <w:tcW w:w="8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and stockholders’ equity/(deficit)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12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left="420" w:right="258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 thousands, except share and per share data) (unaudited)</w:t>
      </w:r>
    </w:p>
    <w:p>
      <w:pPr>
        <w:spacing w:after="0" w:line="3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revenue—related party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19,548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30"/>
        </w:trPr>
        <w:tc>
          <w:tcPr>
            <w:tcW w:w="6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(19,012)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(Loss)/gain on currency exchange,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(32,992)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outstanding, used in computing net loss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common share, basic and diluted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3,906,886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874,327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1,896,605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874,138</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(32,992)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(18,360)</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unrealized losses related to available-for-sale debt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(32,835)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(18,510)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Convertible Preferred Stock and Stockholders’ Equity/(Deficit)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80" w:type="dxa"/>
            <w:vAlign w:val="bottom"/>
          </w:tcPr>
          <w:p>
            <w:pPr>
              <w:spacing w:after="0"/>
              <w:rPr>
                <w:sz w:val="12"/>
                <w:szCs w:val="12"/>
                <w:color w:val="auto"/>
              </w:rPr>
            </w:pPr>
          </w:p>
        </w:tc>
        <w:tc>
          <w:tcPr>
            <w:tcW w:w="1740" w:type="dxa"/>
            <w:vAlign w:val="bottom"/>
            <w:tcBorders>
              <w:right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5"/>
        </w:trPr>
        <w:tc>
          <w:tcPr>
            <w:tcW w:w="39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25"/>
        </w:trPr>
        <w:tc>
          <w:tcPr>
            <w:tcW w:w="39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4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r>
      <w:tr>
        <w:trPr>
          <w:trHeight w:val="165"/>
        </w:trPr>
        <w:tc>
          <w:tcPr>
            <w:tcW w:w="39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33,336,282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(45,868)</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r>
      <w:tr>
        <w:trPr>
          <w:trHeight w:val="203"/>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(7,089)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(7,089)</w:t>
            </w:r>
          </w:p>
        </w:tc>
      </w:tr>
      <w:tr>
        <w:trPr>
          <w:trHeight w:val="209"/>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1"/>
              </w:rPr>
              <w:t>104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33,336,282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(50,820)</w:t>
            </w:r>
          </w:p>
        </w:tc>
      </w:tr>
      <w:tr>
        <w:trPr>
          <w:trHeight w:val="207"/>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7"/>
                <w:szCs w:val="17"/>
                <w:color w:val="auto"/>
              </w:rPr>
            </w:pPr>
          </w:p>
        </w:tc>
      </w:tr>
      <w:tr>
        <w:trPr>
          <w:trHeight w:val="205"/>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(11,140)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(11,140)</w:t>
            </w:r>
          </w:p>
        </w:tc>
      </w:tr>
      <w:tr>
        <w:trPr>
          <w:trHeight w:val="209"/>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33,336,282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(61,460)</w:t>
            </w:r>
          </w:p>
        </w:tc>
      </w:tr>
      <w:tr>
        <w:trPr>
          <w:trHeight w:val="207"/>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191"/>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Conversion of convertible preferred stock to common</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 in connection with the Reverse Merger</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(33,336,282)</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(118,024)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7,269,183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118,023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118,024</w:t>
            </w:r>
          </w:p>
        </w:tc>
      </w:tr>
      <w:tr>
        <w:trPr>
          <w:trHeight w:val="189"/>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common stock and pre-funded warrants in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the pre-closing financing, net of issuance costs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$4,250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67,750</w:t>
            </w:r>
          </w:p>
        </w:tc>
        <w:tc>
          <w:tcPr>
            <w:tcW w:w="100" w:type="dxa"/>
            <w:vAlign w:val="bottom"/>
          </w:tcPr>
          <w:p>
            <w:pPr>
              <w:spacing w:after="0"/>
              <w:rPr>
                <w:sz w:val="18"/>
                <w:szCs w:val="18"/>
                <w:color w:val="auto"/>
              </w:rPr>
            </w:pPr>
          </w:p>
        </w:tc>
      </w:tr>
      <w:tr>
        <w:trPr>
          <w:trHeight w:val="19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to former stockholders of</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Magenta Therapeutics, Inc. in connection with the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Reverse Merger</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3,796,514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71,595</w:t>
            </w:r>
          </w:p>
        </w:tc>
        <w:tc>
          <w:tcPr>
            <w:tcW w:w="100" w:type="dxa"/>
            <w:vAlign w:val="bottom"/>
            <w:shd w:val="clear" w:color="auto" w:fill="CCEEFF"/>
          </w:tcPr>
          <w:p>
            <w:pPr>
              <w:spacing w:after="0"/>
              <w:rPr>
                <w:sz w:val="18"/>
                <w:szCs w:val="18"/>
                <w:color w:val="auto"/>
              </w:rPr>
            </w:pPr>
          </w:p>
        </w:tc>
      </w:tr>
      <w:tr>
        <w:trPr>
          <w:trHeight w:val="189"/>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 for change in common stock par value in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connection with the Reverse Merger</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Reverse recapitalization transaction costs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(3,964)</w:t>
            </w: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r>
      <w:tr>
        <w:trPr>
          <w:trHeight w:val="203"/>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(14,763)</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(14,763)</w:t>
            </w:r>
          </w:p>
        </w:tc>
      </w:tr>
      <w:tr>
        <w:trPr>
          <w:trHeight w:val="210"/>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14,817,762</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257,230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(78,860)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178,381</w:t>
            </w:r>
          </w:p>
        </w:tc>
        <w:tc>
          <w:tcPr>
            <w:tcW w:w="100" w:type="dxa"/>
            <w:vAlign w:val="bottom"/>
            <w:shd w:val="clear" w:color="auto" w:fill="CCEEFF"/>
          </w:tcPr>
          <w:p>
            <w:pPr>
              <w:spacing w:after="0"/>
              <w:rPr>
                <w:sz w:val="17"/>
                <w:szCs w:val="17"/>
                <w:color w:val="auto"/>
              </w:rPr>
            </w:pPr>
          </w:p>
        </w:tc>
      </w:tr>
      <w:tr>
        <w:trPr>
          <w:trHeight w:val="207"/>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10,329,265</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(17,392)</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(17,249)</w:t>
            </w:r>
          </w:p>
        </w:tc>
        <w:tc>
          <w:tcPr>
            <w:tcW w:w="100" w:type="dxa"/>
            <w:vAlign w:val="bottom"/>
          </w:tcPr>
          <w:p>
            <w:pPr>
              <w:spacing w:after="0"/>
              <w:rPr>
                <w:sz w:val="17"/>
                <w:szCs w:val="17"/>
                <w:color w:val="auto"/>
              </w:rPr>
            </w:pPr>
          </w:p>
        </w:tc>
      </w:tr>
      <w:tr>
        <w:trPr>
          <w:trHeight w:val="205"/>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(4,881)</w:t>
            </w:r>
          </w:p>
        </w:tc>
        <w:tc>
          <w:tcPr>
            <w:tcW w:w="1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(4,881)</w:t>
            </w:r>
          </w:p>
        </w:tc>
      </w:tr>
      <w:tr>
        <w:trPr>
          <w:trHeight w:val="27"/>
        </w:trPr>
        <w:tc>
          <w:tcPr>
            <w:tcW w:w="3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10,329,265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(22,273)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(22,065)</w:t>
            </w:r>
          </w:p>
        </w:tc>
      </w:tr>
      <w:tr>
        <w:trPr>
          <w:trHeight w:val="196"/>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convertible preferred stock, net of issuance</w:t>
            </w: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costs of $3,324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23,007,017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(5,695)</w:t>
            </w:r>
          </w:p>
        </w:tc>
        <w:tc>
          <w:tcPr>
            <w:tcW w:w="1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(5,695)</w:t>
            </w:r>
          </w:p>
        </w:tc>
      </w:tr>
      <w:tr>
        <w:trPr>
          <w:trHeight w:val="27"/>
        </w:trPr>
        <w:tc>
          <w:tcPr>
            <w:tcW w:w="3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33,336,282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(27,481)</w:t>
            </w:r>
          </w:p>
        </w:tc>
      </w:tr>
      <w:tr>
        <w:trPr>
          <w:trHeight w:val="207"/>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7"/>
                <w:szCs w:val="17"/>
                <w:color w:val="auto"/>
              </w:rPr>
            </w:pPr>
          </w:p>
        </w:tc>
      </w:tr>
      <w:tr>
        <w:trPr>
          <w:trHeight w:val="205"/>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(7,784)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(7,784)</w:t>
            </w: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r>
      <w:tr>
        <w:trPr>
          <w:trHeight w:val="27"/>
        </w:trPr>
        <w:tc>
          <w:tcPr>
            <w:tcW w:w="3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33,336,282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875,279</w:t>
            </w: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(35,752)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(34,754)</w:t>
            </w:r>
          </w:p>
        </w:tc>
      </w:tr>
      <w:tr>
        <w:trPr>
          <w:trHeight w:val="20"/>
        </w:trPr>
        <w:tc>
          <w:tcPr>
            <w:tcW w:w="39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7"/>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5"/>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(32,992)</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(18,360)</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2,174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1,005</w:t>
            </w:r>
          </w:p>
        </w:tc>
        <w:tc>
          <w:tcPr>
            <w:tcW w:w="0" w:type="dxa"/>
            <w:vAlign w:val="bottom"/>
          </w:tcPr>
          <w:p>
            <w:pPr>
              <w:spacing w:after="0"/>
              <w:rPr>
                <w:sz w:val="1"/>
                <w:szCs w:val="1"/>
                <w:color w:val="auto"/>
              </w:rPr>
            </w:pPr>
          </w:p>
        </w:tc>
      </w:tr>
      <w:tr>
        <w:trPr>
          <w:trHeight w:val="162"/>
        </w:trPr>
        <w:tc>
          <w:tcPr>
            <w:tcW w:w="9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Accretion of discount on short-term 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right-of-use lease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62"/>
        </w:trPr>
        <w:tc>
          <w:tcPr>
            <w:tcW w:w="9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ind w:left="600"/>
              <w:spacing w:after="0" w:line="162" w:lineRule="exact"/>
              <w:rPr>
                <w:sz w:val="20"/>
                <w:szCs w:val="20"/>
                <w:color w:val="auto"/>
              </w:rPr>
            </w:pPr>
            <w:r>
              <w:rPr>
                <w:rFonts w:ascii="Times New Roman" w:cs="Times New Roman" w:eastAsia="Times New Roman" w:hAnsi="Times New Roman"/>
                <w:sz w:val="15"/>
                <w:szCs w:val="15"/>
                <w:color w:val="auto"/>
              </w:rPr>
              <w:t>Receivable from related party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4,468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(1,083)</w:t>
            </w:r>
          </w:p>
        </w:tc>
        <w:tc>
          <w:tcPr>
            <w:tcW w:w="0" w:type="dxa"/>
            <w:vAlign w:val="bottom"/>
          </w:tcPr>
          <w:p>
            <w:pPr>
              <w:spacing w:after="0"/>
              <w:rPr>
                <w:sz w:val="1"/>
                <w:szCs w:val="1"/>
                <w:color w:val="auto"/>
              </w:rPr>
            </w:pPr>
          </w:p>
        </w:tc>
      </w:tr>
      <w:tr>
        <w:trPr>
          <w:trHeight w:val="162"/>
        </w:trPr>
        <w:tc>
          <w:tcPr>
            <w:tcW w:w="936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Unbilled receivable from related party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(1,927)</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ind w:left="6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2,546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(862)</w:t>
            </w:r>
          </w:p>
        </w:tc>
        <w:tc>
          <w:tcPr>
            <w:tcW w:w="0" w:type="dxa"/>
            <w:vAlign w:val="bottom"/>
          </w:tcPr>
          <w:p>
            <w:pPr>
              <w:spacing w:after="0"/>
              <w:rPr>
                <w:sz w:val="1"/>
                <w:szCs w:val="1"/>
                <w:color w:val="auto"/>
              </w:rPr>
            </w:pPr>
          </w:p>
        </w:tc>
      </w:tr>
      <w:tr>
        <w:trPr>
          <w:trHeight w:val="162"/>
        </w:trPr>
        <w:tc>
          <w:tcPr>
            <w:tcW w:w="936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ind w:left="60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lease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162"/>
        </w:trPr>
        <w:tc>
          <w:tcPr>
            <w:tcW w:w="936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Deferred revenue—related party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914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360" w:type="dxa"/>
            <w:vAlign w:val="bottom"/>
            <w:shd w:val="clear" w:color="auto" w:fill="CCEEFF"/>
          </w:tcPr>
          <w:p>
            <w:pPr>
              <w:ind w:left="920"/>
              <w:spacing w:after="0" w:line="162"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(25,007)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(20,219)</w:t>
            </w:r>
          </w:p>
        </w:tc>
        <w:tc>
          <w:tcPr>
            <w:tcW w:w="0" w:type="dxa"/>
            <w:vAlign w:val="bottom"/>
          </w:tcPr>
          <w:p>
            <w:pPr>
              <w:spacing w:after="0"/>
              <w:rPr>
                <w:sz w:val="1"/>
                <w:szCs w:val="1"/>
                <w:color w:val="auto"/>
              </w:rPr>
            </w:pPr>
          </w:p>
        </w:tc>
      </w:tr>
      <w:tr>
        <w:trPr>
          <w:trHeight w:val="169"/>
        </w:trPr>
        <w:tc>
          <w:tcPr>
            <w:tcW w:w="93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Capital expenditures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short-term 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(31,195)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(47,044)</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maturities of short-term investments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59,785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9360" w:type="dxa"/>
            <w:vAlign w:val="bottom"/>
          </w:tcPr>
          <w:p>
            <w:pPr>
              <w:ind w:left="920"/>
              <w:spacing w:after="0" w:line="169" w:lineRule="exact"/>
              <w:rPr>
                <w:sz w:val="20"/>
                <w:szCs w:val="20"/>
                <w:color w:val="auto"/>
              </w:rPr>
            </w:pPr>
            <w:r>
              <w:rPr>
                <w:rFonts w:ascii="Times New Roman" w:cs="Times New Roman" w:eastAsia="Times New Roman" w:hAnsi="Times New Roman"/>
                <w:sz w:val="15"/>
                <w:szCs w:val="15"/>
                <w:color w:val="auto"/>
              </w:rPr>
              <w:t>Net cash provided by/(used in) investing activities</w:t>
            </w: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28,490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97"/>
              </w:rPr>
              <w:t>(47,154)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pre-closing financing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72,000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 of issuance costs in connection with pre-closing financing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acquired in connection with the reverse recapitalization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69,738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 of reverse recapitalization transaction costs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(3,254)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of promissory notes payable to related party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Repayment of promissory notes payable to related party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of Series A convertible preferred stock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 of issuance costs for Series A convertible preferred 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(3,324)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360" w:type="dxa"/>
            <w:vAlign w:val="bottom"/>
            <w:shd w:val="clear" w:color="auto" w:fill="CCEEFF"/>
          </w:tcPr>
          <w:p>
            <w:pPr>
              <w:ind w:left="920"/>
              <w:spacing w:after="0" w:line="162"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138,439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96,676</w:t>
            </w:r>
          </w:p>
        </w:tc>
        <w:tc>
          <w:tcPr>
            <w:tcW w:w="0" w:type="dxa"/>
            <w:vAlign w:val="bottom"/>
          </w:tcPr>
          <w:p>
            <w:pPr>
              <w:spacing w:after="0"/>
              <w:rPr>
                <w:sz w:val="1"/>
                <w:szCs w:val="1"/>
                <w:color w:val="auto"/>
              </w:rPr>
            </w:pPr>
          </w:p>
        </w:tc>
      </w:tr>
      <w:tr>
        <w:trPr>
          <w:trHeight w:val="169"/>
        </w:trPr>
        <w:tc>
          <w:tcPr>
            <w:tcW w:w="93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Increase in cash, cash equivalents and restricted cash</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141,922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29,303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15,425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7,638</w:t>
            </w:r>
          </w:p>
        </w:tc>
        <w:tc>
          <w:tcPr>
            <w:tcW w:w="0" w:type="dxa"/>
            <w:vAlign w:val="bottom"/>
          </w:tcPr>
          <w:p>
            <w:pPr>
              <w:spacing w:after="0"/>
              <w:rPr>
                <w:sz w:val="1"/>
                <w:szCs w:val="1"/>
                <w:color w:val="auto"/>
              </w:rPr>
            </w:pPr>
          </w:p>
        </w:tc>
      </w:tr>
      <w:tr>
        <w:trPr>
          <w:trHeight w:val="169"/>
        </w:trPr>
        <w:tc>
          <w:tcPr>
            <w:tcW w:w="93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157,347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36,941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Supplemental Disclosure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157,282</w:t>
            </w:r>
          </w:p>
        </w:tc>
        <w:tc>
          <w:tcPr>
            <w:tcW w:w="160" w:type="dxa"/>
            <w:vAlign w:val="bottom"/>
          </w:tcPr>
          <w:p>
            <w:pPr>
              <w:spacing w:after="0"/>
              <w:rPr>
                <w:sz w:val="14"/>
                <w:szCs w:val="14"/>
                <w:color w:val="auto"/>
              </w:rPr>
            </w:pP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36,881</w:t>
            </w:r>
          </w:p>
        </w:tc>
        <w:tc>
          <w:tcPr>
            <w:tcW w:w="0" w:type="dxa"/>
            <w:vAlign w:val="bottom"/>
          </w:tcPr>
          <w:p>
            <w:pPr>
              <w:spacing w:after="0"/>
              <w:rPr>
                <w:sz w:val="1"/>
                <w:szCs w:val="1"/>
                <w:color w:val="auto"/>
              </w:rPr>
            </w:pPr>
          </w:p>
        </w:tc>
      </w:tr>
      <w:tr>
        <w:trPr>
          <w:trHeight w:val="162"/>
        </w:trPr>
        <w:tc>
          <w:tcPr>
            <w:tcW w:w="9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69"/>
        </w:trPr>
        <w:tc>
          <w:tcPr>
            <w:tcW w:w="93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157,347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36,941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paid for interest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shd w:val="clear" w:color="auto" w:fill="CCEEFF"/>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paid for taxes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Issuance costs in connection with pre-closing financing included in accrued expenses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4,200</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Transaction costs related to reverse recapitalization included in accounts payable and accrued expenses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710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Conversion of convertible preferred stock into common stock</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118,024</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Additions to right-of-use lease assets from new operating lease 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89</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Dianthus Therapeutics, Inc. (formerly Magenta Therapeutics, Inc.) (the “Company” or “Dianthus”) is a clinical-stage biotechnology company focused on developing next-generation complement therapeutics for patients with severe autoimmune and inflammatory diseases. The Company’s corporate headquarters are in New York, New York.</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Currently, the Company is devoting substantially all efforts and resources toward product research and development of its product candidates. The Company has incurred losses from operations and negative operating cash flows since its inception. There can be no assurance that its research and development programs will be successful, that products developed, if any, will obtain necessary regulatory approval, or that any approved product, if any, will be commercially viable. In addition, the Company operates in an environment of rapid technological change and is largely dependent on the services of its key employees, consultants, and advisors.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Merger and Pre-Closing Financing</w:t>
      </w:r>
    </w:p>
    <w:p>
      <w:pPr>
        <w:spacing w:after="0" w:line="121"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On September 11, 2023, the Company completed its business combination with Dianthus Therapeutics, OpCo Inc. (formerly Dianthus Therapeutics, Inc.) (“Former Dianthus”) in accordance with the terms of the Agreement and Plan of Merger, dated as of May 2, 2023 (the “Merger Agreement”), by and among the Company, Dio Merger Sub, Inc., a Delaware corporation and a wholly owned subsidiary of the Company (“Merger Sub”), and Former Dianthus, pursuant to which, among other matters, Merger Sub merged with and into Former Dianthus, with Former Dianthus surviving as a wholly owned subsidiary of the Company (the “Reverse Merger”). In connection with the completion of the Reverse Merger, the Company changed its name from “Magenta Therapeutics, Inc.” to “Dianthus Therapeutics, Inc.,” and the business conducted by the Company became primarily the business conducted by Former Dianthus. Unless context otherwise requires, references herein to “Dianthus,” the “Company,” or the “combined company” refer to Dianthus Therapeutics, Inc. (formerly Magenta Therapeutics, Inc.) after completion of the Reverse Merger, the term “Former Dianthus” refers to Dianthus Therapeutics OpCo, Inc. (formerly Dianthus Therapeutics, Inc.), and the term “Magenta” refers to the Company prior to completion of the Reverse Merger. The Company was incorporated in June 2015 and Former Dianthus was incorporated in May 2019.</w:t>
      </w:r>
    </w:p>
    <w:p>
      <w:pPr>
        <w:spacing w:after="0" w:line="17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of the Reverse Merger, the Company effected a 1-for-16 reverse stock split of its common stock (the “Reverse Stock Split”). Unless noted otherwise, all references herein to share and per share amounts reflect the Reverse Stock Split.</w:t>
      </w:r>
    </w:p>
    <w:p>
      <w:pPr>
        <w:spacing w:after="0" w:line="16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of the Reverse Merger, the Company issued an aggregate of 11,021,248 shares of Company common stock to the Former Dianthus stockholders, based on the exchange ratio of approximately 0.2181 shares of Company common stock for each share of Former Dianthus common stock, including those shares of Former Dianthus common stock issued upon the conversion of Former Dianthus preferred stock and those shares of the Former Dianthus common stock issued in the pre-closing financing (as defined below), resulting in 14,817,762 shares of Company common stock being issued and outstanding following the effective time of the Reverse Merger.</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At the effective time of the Reverse Merger, the 2019 Stock Plan (as discussed in Note 12) was assumed by the Company, and each outstanding and unexercised option to purchase shares of Former Dianthus common stock immediately prior to the effective time of the Reverse Merger was assumed by the Company and converted into an option to purchase shares of Company common stock, with necessary adjustments to the number of</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82"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shares and exercise price to reflect the exchange ratio, and each outstanding and unexercised warrant to purchase shares of Former Dianthus common stock immediately prior to the effective time of the Reverse Merger (including the Former Dianthus pre-funded warrants sold in the pre-closing financing) was converted into a warrant to purchase shares of Company common stock, with necessary adjustments to the number of shares and exercise price to reflect the exchange ratio.</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Reverse Merger was accounted for as a reverse recapitalization in accordance with generally accepted accounting principles in the United States of America (“U.S. GAAP”). Under this method of accounting, Former Dianthus was deemed to be the accounting acquirer for financial reporting purposes. This determination was primarily based on the expectation that, immediately following the Reverse Merger: (i) Former Dianthus’ stockholders own a substantial majority of the voting rights in the combined company; (ii) Former Dianthus’ largest stockholders retain the largest interest in the combined company; (iii) Former Dianthus designated a majority (six of eight) of the initial members of the board of directors of the combined company; and (iv) Former Dianthus’ executive management team became the management team of the combined company. Accordingly, for accounting purposes:</w:t>
      </w:r>
    </w:p>
    <w:p>
      <w:pPr>
        <w:spacing w:after="0" w:line="5" w:lineRule="exact"/>
        <w:rPr>
          <w:sz w:val="20"/>
          <w:szCs w:val="20"/>
          <w:color w:val="auto"/>
        </w:rPr>
      </w:pPr>
    </w:p>
    <w:p>
      <w:pPr>
        <w:ind w:left="120" w:right="20" w:hanging="4"/>
        <w:spacing w:after="0" w:line="253"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Merger was treated as the equivalent of Former Dianthus issuing stock to acquire the net assets of Magenta; (ii) the net assets of Magenta are recorded at their acquisition-date fair value in the unaudited condensed consolidated financial statements of Former Dianthus and (iii) the reported historical operating results of the combined company prior to the Reverse Merger are those of Former Dianthus. Additional information regarding the Reverse Merger is included in Note 3. Historical common share figures of Former Dianthus have been retroactively restated based on the exchange ratio of approximately 0.2181.</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September 11, 2023, prior to the effective time of the Reverse Merger, the Company entered into a contingent value rights agreement (the “CVR Agreement”) with a rights agent, pursuant to which pre-Reverse Merger holders of Magenta common stock received one non-transferable contingent value right (each, a “CVR”) for each outstanding share of Magenta common stock held by such stockholder immediately prior to the effective time of the Reverse Merger on September 11, 2023. Subject to, and in accordance with, the terms and conditions of the CVR Agreement, each CVR represents the contractual right to receive a pro rata portion of the proceeds, if any, received by the Company as a result of (i) contingent payments made to the Company, such as milestone, royalty or earnout, when received under any pre-Reverse Merger disposition agreements related to Magenta’s pre-Reverse Merger assets and (ii) the Company’s sale of assets after the effective date of the Reverse Merger and prior to December 31, 2023, in each case, received within a three-year period following the closing of the Reverse Merger. As of September 30, 2023, no payments have been received under the CVR Agreement.</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and delivery of the Merger Agreement, and in order to provide Former Dianthus with additional capital for its development programs, Former Dianthus entered into a subscription agreement, as amended (the “Subscription Agreement”), with certain investors named therein (the “Investors”), pursuant to which, subject to the terms and conditions of the Subscription Agreement, immediately prior to the effective time of the Reverse Merger, Former Dianthus issued and sold, and the Investors purchased, (i) 2,873,988 shares of Former Dianthus common stock and</w:t>
      </w:r>
    </w:p>
    <w:p>
      <w:pPr>
        <w:spacing w:after="0" w:line="3" w:lineRule="exact"/>
        <w:rPr>
          <w:sz w:val="20"/>
          <w:szCs w:val="20"/>
          <w:color w:val="auto"/>
        </w:rPr>
      </w:pPr>
    </w:p>
    <w:p>
      <w:pPr>
        <w:ind w:left="120" w:right="280" w:hanging="4"/>
        <w:spacing w:after="0" w:line="260" w:lineRule="auto"/>
        <w:tabs>
          <w:tab w:leader="none" w:pos="3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210,320 pre-funded warrants, exercisable for 210,320 shares of Former Dianthus common stock, at a purchase price of approximately $23.34 per share or $23.34 per warrant, for an aggregate purchase price of approximately $72.0 million (the “pre-closing financing”).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its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potential product candidates that are in development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its product development efforts are successful, it is uncertain when, if ever, the Company will generate revenue from product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No. 2014-15, </w:t>
      </w:r>
      <w:r>
        <w:rPr>
          <w:rFonts w:ascii="Times New Roman" w:cs="Times New Roman" w:eastAsia="Times New Roman" w:hAnsi="Times New Roman"/>
          <w:sz w:val="18"/>
          <w:szCs w:val="18"/>
          <w:i w:val="1"/>
          <w:iCs w:val="1"/>
          <w:color w:val="auto"/>
        </w:rPr>
        <w:t>Disclosure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w:t>
      </w:r>
      <w:r>
        <w:rPr>
          <w:rFonts w:ascii="Times New Roman" w:cs="Times New Roman" w:eastAsia="Times New Roman" w:hAnsi="Times New Roman"/>
          <w:sz w:val="18"/>
          <w:szCs w:val="18"/>
          <w:color w:val="auto"/>
        </w:rPr>
        <w:t>(Subtopic 205-40), the Company has evaluated whether there are certain conditions and events, considered in the aggregate,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the Company’s ability to continue as a going concern within one year after the date that the accompanying unaudited condensed consolidated financial statements were issued (the “issuance date”):</w:t>
      </w:r>
    </w:p>
    <w:p>
      <w:pPr>
        <w:spacing w:after="0" w:line="87" w:lineRule="exact"/>
        <w:rPr>
          <w:sz w:val="20"/>
          <w:szCs w:val="20"/>
          <w:color w:val="auto"/>
        </w:rPr>
      </w:pPr>
    </w:p>
    <w:p>
      <w:pPr>
        <w:ind w:left="1080" w:right="1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funded its operations primarily with outside capital and has incurred significant recurring losses, including net losses of $33.0 million and $18.4 million for the nine months ended September 30, 2023 and 2022, respectively. In addition, the Company had an accumulated deficit of $78.9 million as of September 30, 2023;</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continue to incur significant recurring losses and rely on outside capital to fund its operations for the foreseeable future;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the Company expects that its existing cash, cash equivalents and short-term investments on hand as of the issuance date will be sufficient to fund its obligations as they become due for at least twelve months beyond the issuance date. The Company expects that its research and development and general and administrative costs will continue to increase significantly, including in connection with conducting clinical trials and manufacturing for its existing product candidate and any future product candidates to support commercialization and providing general and administrative support for its operations, including the costs associated with operating as a public company.</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the event the Company is unable to secure additional outside capital,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any adjustments that might result from the outcome of these uncertainties.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September 30, 2023 and for the nine months ended September 30, 2023 and 2022 have been prepared in conformity with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consolidated financial statements have been prepared on the same basis as the Company’s audited financial statements and include only normal and recurring adjustments that the Company believes are necessary to fairly state the Company’s financial position and the results of its operations and cash flows. The results for the three and nine months ended September 30, 2023 are not necessarily indicative of the results expected for the full fiscal year or any subsequent interim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period. The unaudited condensed consolidated balance sheet as of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Former Dianthus’ audited financial statements as of and for the years ended December 31, 2022 and 2021, included as Exhibit 99.5 of the Company’s Current Report on Form 8-K filed with the SEC on September 12, 2023 (as amended on September 21, 2023). Any reference in these notes to applicable guidance is meant to refer to the authoritative U.S. GAAP as found in the Accounting Standards Codification (“ASC”) and Accounting Standards Update (“ASU”) of the Financial Accounting Standards Board (“FASB”).</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may differ materially from those estimates.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the following: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are used in the following areas, among others: the recognition of research and development expense, stock-based compensation expense and revenue recognition.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short-term, highly liquid investments with original maturities of 90 days or less are considered to be cash and cash equivalents. The carrying amounts reported in the unaudited condensed consolidated balance sheets for cash and cash equivalents are valued at cost, which approximates fair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cash equivalents and short-term investments. The Company regularly maintains deposits in accredited financial institutions in excess of federally insured limits. The Company invests its excess cash primarily in money market funds, U.S. treasury securities and U.S. government agency securities in accordance with the Company’s investment policy. The Company’s investment policy defines allowable investments and establishes guidelines relating to credit quality, diversification, and maturities of its investments to preserve principal and maintain liquidity. The Company has not experienced any realized losses related to its cash, cash equivalents and short-term investments and management believes the Company is not exposed to significant risks of losses.</w:t>
      </w:r>
    </w:p>
    <w:p>
      <w:pPr>
        <w:spacing w:after="0" w:line="17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and December 31, 2022, the Company held cash deposits at Silicon Valley Bank (“SVB”) in excess of government insured limits. On March 10, 2023, SVB was closed by the California Department of Financial Protection and Innovation, and the Federal Deposit Insurance Corporation was appointed as receiver. No losses were incurred by the Company on deposits that were held at SVB. Management believes that the Company is not currently exposed to significant credit risk as the vast majority of the Company’s deposits were either owned directly by the Company and held in custody at a third-party financial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institution or, subsequent to March 10, 2023, have been transferred to a third-party financial institution. The Company does not currently have any other significant relationships with SVB.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Short-term investments consist of investments in U.S. treasury and U.S. government agency securities. Management of the Company determines the appropriate classification of the securities at the time they are acquired and evaluates the appropriateness of such classifications at each balance sheet date. The Company classifies its short-term investments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and reports them at fair value in short-term investments with unrealized gains and losses reported as a component of accumulated other comprehensive income loss on the unaudited condensed consolidated balance sheet. Realized gains and losses and declines in value judged to be other than temporary are included as a component of interest income based on the specific identification method.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Effective January 1, 2023, when the fair value is below the amortized cost of a marketable security, an estimate of expected credit losses is made. The credit-related impairment amount is recognized in the unaudited condensed consolidated statements of operations and comprehensive loss. Credit losses are recognized through the use of an allowance for credit losses account in the unaudited condensed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unaudited condensed consolidated statements of operations and comprehensive loss. There were no credit losses recorded during the three and nine months ended September 30, 2023.</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regarding short-term investments is included in Note 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Receivable from Related Party and Unbilled Receivable from Related Party</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receivable from related party and unbilled receivable from related party results from option and license agreements with Zenas BioPharma Limited (“Zenas”), a related party. See Notes 13 and 16 for more information. The receivable represents amounts earned and billed to Zenas but not yet collected while unbilled receivable represents amounts earned but not yet billed to Zenas. The receivable and unbilled receivable are reported at net realizable value. The Company regularly evaluates the creditworthiness of Zenas and their financial condition and does not require collateral from Zenas. As of September 30, 2023 and December 31, 2022, no allowance for doubtful accounts was recorded as all accounts were considered collectible.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using the straight-line method over estimated useful lives of three years for computer equipment and five years for furniture and fixtures. Expenditures for major renewals and betterments that extend the useful lives are capitalized. Expenditures for normal maintenance and repairs are expensed as incurred. The cost of assets sold or abandoned, and the related accumulated depreciation are eliminated from the accounts and any gains or losses are recognized in the accompanying unaudited condensed consolidated statements of operations and comprehensive loss of the respective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Operating leases are accounted for in accordance with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amended (“ASC 842”). Right-of-use lease assets represent the right to use an underlying asset for the lease term and lease liabilities represent an obligation to make lease payments arising from the lease. The measurement of lease liabilities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based on the present value of future lease payments over the lease term. As the Company’s leases do not provide an implicit rate, management used the Company’s incremental borrowing rate based on the information available at the lease commencement date in determining the present value of future lease payments. The right-of-use asset is based on the measurement of the lease liability and includes any lease payments made prior to or on lease commencement and excludes lease incentives and initial direct costs incurred, as applicable. Rent expense for operating leases is recognized on a straight-line basis over the lease term. The Company does not have any leases classified as finance leases. Management have elected the practical expedient to exclude short-term leases from right-of-use assets and lease liabilities.</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Company’s leases do not have significant rent escalation, holidays, concessions, material residual value guarantees, material restrictive covenants or contingent rent provisions. The Company’s leases include both lease (e.g., fixed payments including rent, taxes, and insurance costs) and non-lease components (e.g., common-area or other maintenance costs), which are accounted for as a single lease component as management have elected the practical expedient to group lease and non-lease components for all leases.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and disclosures required under ASC 842 are included in Note 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restricted cash is included as a component of cash, cash equivalents and restricted cash in the accompanying unaudited condensed consolidated statements of cash flows. Restricted cash serves as collateral for a letter of credit securing office space. Restricted cash is recorded within other assets and restricted cash line item in the accompanying unaudited condensed consolidated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calculates the fair value of assets and liabilities that qualify as financial instruments and includes additional information in the notes to the financial statements when the fair value is different than the carrying value of these financial instruments.</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Company is required to disclose information on all assets and liabilities reported at fair value that enables an assessment of the inputs used in determining the reported fair values. 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defines fair value as the exchange price that would be received for an asset or paid to transfer a liability (an exit price) in the principal or most advantageous market for the asset or liability in an orderly transaction between market participants at the measurement date. ASC 820 establishes a hierarchy of inputs used in measuring fair value that maximizes the use of observable inputs and minimizes the use of unobservable inputs by requiring that the observable inputs be used when available.</w:t>
      </w:r>
    </w:p>
    <w:p>
      <w:pPr>
        <w:spacing w:after="0" w:line="16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the Company. Unobservable inputs are inputs that reflect management’s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131" w:lineRule="exact"/>
        <w:rPr>
          <w:sz w:val="20"/>
          <w:szCs w:val="20"/>
          <w:color w:val="auto"/>
        </w:rPr>
      </w:pPr>
    </w:p>
    <w:p>
      <w:pPr>
        <w:ind w:left="1540" w:hanging="331"/>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66"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331"/>
        <w:spacing w:after="0" w:line="266" w:lineRule="auto"/>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valuation techniques that use significant unobservable inputs.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management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Management has segregated all financial assets and liabilities that are measured at fair value on a recurring basis into the most appropriate level within the fair value hierarchy based on the inputs used to determine the fair value at the measurement date in the table below. The Company’s valuation techniques for its Level 2 financial assets included using quoted prices for similar assets in active markets and quoted prices for similar assets in markets that are not active.</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estimated fair value of receivable from related party, unbilled receivable from related party, accounts payable and accrued expenses approximate their carrying amounts due to the relatively short maturity of these instruments.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regarding fair value measurements is included in Note 7.</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Convertible preferred stock is recorded at its original issuance price, less direct and incremental offering costs, as stipulated by its terms. The Company has applied the guidance in ASC 480-10-S99, </w:t>
      </w:r>
      <w:r>
        <w:rPr>
          <w:rFonts w:ascii="Times New Roman" w:cs="Times New Roman" w:eastAsia="Times New Roman" w:hAnsi="Times New Roman"/>
          <w:sz w:val="18"/>
          <w:szCs w:val="18"/>
          <w:i w:val="1"/>
          <w:iCs w:val="1"/>
          <w:color w:val="auto"/>
        </w:rPr>
        <w:t>Distinguishing Liabilities from Equity-Overall-SEC Materials</w:t>
      </w:r>
      <w:r>
        <w:rPr>
          <w:rFonts w:ascii="Times New Roman" w:cs="Times New Roman" w:eastAsia="Times New Roman" w:hAnsi="Times New Roman"/>
          <w:sz w:val="18"/>
          <w:szCs w:val="18"/>
          <w:color w:val="auto"/>
        </w:rPr>
        <w:t>, and has therefore classified the convertible preferred stock outside of stockholders’ equity/(deficit) in the accompanying unaudited condensed consolidated balance sheet. In September 2023, all outstanding shares of convertible preferred stock were converted into common shares immediately prior to the effective time of the Reverse Merger. Additional information and disclosures are included in Note 11.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and in assessing performance. The Company’s CODM is its Chief Executive Officer (“CEO”). The Company operates as a single operating segment and has one reportable segment.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 – Related Party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date, the Company’s only revenue has been attributable to an upfront payment and cost reimbursements under the Company’s license agreement with Zenas. The Company has not generated any revenue from product sales and does not expect to generate any revenue from product sales for the foreseeable future.</w:t>
      </w:r>
    </w:p>
    <w:p>
      <w:pPr>
        <w:spacing w:after="0" w:line="17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pursuant to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applies to all contracts with customers, except for contracts that are within the scope of other standards.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 with a customer;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hanging="4"/>
        <w:spacing w:after="0" w:line="282" w:lineRule="auto"/>
        <w:tabs>
          <w:tab w:leader="none" w:pos="3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(iii) determine the transaction price; (iv) allocate the transaction price to the performance obligations in the contract; and (v) recognize revenue when the performance obligation is satisfied.</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evaluates the performance obligations promised in a contract that are based on goods and services that will be transferred to the customer and determine whether those obligations are both (i) capable of being distinct and (ii)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9"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The Company then allocates the transaction price to each performance obligation and recognizes as revenue the amount of the transaction price that is allocated to the respective performance obligation when (or as) control is transferred to the customer and the performance obligation is satisfied.</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the Company’s balance sheets. If the related performance obligation is expected to be satisfied within the next twelve months this will be classified in current liabilities.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and disclosures required under ASC 606 are included in Note 13.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recorded as expense, as incurred. Research and development expenses consists of (i) costs to engage contractors who specialize in the development activities of the Company; (ii) external research and development costs incurred under arrangements with third parties, such as contract research organizations and consultants; and (iii) costs associated with preclinical activities and regulatory operations.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firms, researchers, and others for the provision of goods and services. Under such agreements, the Company may pay for services on a monthly, quarterly, project or other basis. Such arrangements are generally cancelable upon reasonable notice and payment of costs incurred. Costs are considered incurred based on an evaluation of the progress to completion of specific tasks under each contract using information and data provided by the service providers and vendors, whereas payments are dictated by the terms of each agreement. As such, depending on the timing of payment relative to the receipt of goods or services, management may record either prepaid expenses or accrued services. These costs consist of direct and indirect costs associated with specific projects, as well as fees paid to various entities that perform certain research on behalf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Patent costs are expensed as incurred and recorded within general and administrative expenses.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the deferred tax assets will not be realized.</w:t>
      </w:r>
    </w:p>
    <w:p>
      <w:pPr>
        <w:spacing w:after="0" w:line="18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2023 and December 31, 2022, the Company did not have any material uncertain tax positions. The Company recognizes interest and penalties related to uncertain tax positions, if any exist, in income tax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ASC 718 requires all stock-based payments, including grants of stock options and restricted stock, to be recognized in the unaudited condensed consolidated statements of operations and comprehensive loss based on their fair values. All of the stock-based awards are subject only to service-based vesting conditions. Management estimates the fair value of the stock option awards using the Black-Scholes option pricing model, which requires the input of assumptions, including (a) the fair value of the Company’s common stock, (b) the expected stock price volatility, (c) the calculation of expected term of the award, (d) the risk-free interest rate and (e) expected dividends. Management estimates the fair value of the restricted stock awards using the fair value of the Company’s common stock. Forfeitures are recognized as they are incurred.</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Prior to the Reverse Merger, management utilized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 to estimate the fair value of Former Dianthus common stock. Each valuation methodology included estimates and assumptions that required management’s judgment. These estimates and assumptions included objective and subjective factors, including external market conditions, the prices at which Former Dianthus sold shares of convertible preferred stock, the superior rights and preferences of the convertible preferred stock senior to Former Dianthus common stock at the time, and a probability analysis of various liquidity events, such as a public offering or sale of Former Dianthus, under differing scenarios. Changes to the key assumptions used in the valuations could have resulted in materially different fair values of Former Dianthus common stock at each valuation date. Following the Reverse Merger, the fair value of the Company’s common stock is based on the closing stock price on the date of grant as reported on the Nasdaq Capital Market.</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Due to a lack of company-specific historical and implied volatility data, management bases its estimate of expected volatility on the historical volatility of a representative group of companies with similar characteristics to the Company, including stage of product development and life science industry focus. Management believes the group selected has sufficiently similar economic and industry characteristics and includes companies that are most representative of the Company.</w:t>
      </w:r>
    </w:p>
    <w:p>
      <w:pPr>
        <w:spacing w:after="0" w:line="17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Management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The risk-free interest rate is based on observed interest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320" w:top="482"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rates appropriate for the term of the awards. The dividend yield assumption is based on history and expectation of paying no dividends.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stock-based awards is calculated on a straight-line basis by recognizing the grant date fair value, over the associated service period of the award, which is generally the vesting term.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regarding share-based compensation is included in Note 12.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only component of comprehensive loss other than net loss is change in unrealized losses related to available-for-sale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are calculated in conformity with the two-class method required for participating securities. Convertible preferred stock is a participating security in distributions of the Company. The net loss attributable to common stockholders is not allocated to the convertible preferred shares as the holders of convertible preferred shares do not have a contractual obligation to share in losses. Under the two-class method, 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common stock as these shares are considered contingently issuable shares until they vest.</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Diluted net loss per share of common stock includes the effect, if any, from the potential exercise or conversion of securities, such as convertible preferred stock, stock options and unvested restricted common stock,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For all periods presented, basic and diluted net loss per share were the same, as any additional share equivalents would be anti-dilutive.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is included in Note 14.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No. 2016-13, </w:t>
      </w:r>
      <w:r>
        <w:rPr>
          <w:rFonts w:ascii="Times New Roman" w:cs="Times New Roman" w:eastAsia="Times New Roman" w:hAnsi="Times New Roman"/>
          <w:sz w:val="18"/>
          <w:szCs w:val="18"/>
          <w:i w:val="1"/>
          <w:iCs w:val="1"/>
          <w:color w:val="auto"/>
        </w:rPr>
        <w:t>Financial Instruments – Credit Losses (Topic 326):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Financial Instruments </w:t>
      </w:r>
      <w:r>
        <w:rPr>
          <w:rFonts w:ascii="Times New Roman" w:cs="Times New Roman" w:eastAsia="Times New Roman" w:hAnsi="Times New Roman"/>
          <w:sz w:val="18"/>
          <w:szCs w:val="18"/>
          <w:color w:val="auto"/>
        </w:rPr>
        <w:t>for the fiscal year beginning January 1, 2023 using the modified retrospective approach, and no cumulative effect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accumulated deficit was needed as of the adoption date. Additionally, no prior period amounts were adjusted. The new standard adjusts the accounting for assets held at amortized cost basis, including short-term investments accounted for as available-for-sale, and receivables. The standard eliminates the probable initial recognition threshold and requires an entity to reflect its current estimate of all expected credit losses. The allowance for credit losses is a valuation account that is deducted from the amortized cost basis of the financial assets to present the net amount expected to be collected. The adoption of this standard did not have a material impact on the Company’s unaudited condensed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Reverse Merger</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described in Note 1, Merger Sub merged with and into Former Dianthus, with Former Dianthus surviving as a wholly owned subsidiary of the Company on September 11, 2023. The Reverse Merger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accounted for as a reverse asset acquisition accounted for as a reverse recapitalization in accordance with U.S. GAAP with Former Dianthus as the accounting acquirer of Magenta. At the effective time of the Reverse Merger, substantially all of the assets of Magenta consisted of cash and cash equivalents, marketable securities, as well as other nominal non-operating assets. Under such reverse recapitalization accounting, the assets and liabilities of Magenta were recorded at their fair value in Magenta’s financial statements at the effective time of the Merger, which approximated book value due to the short-term nature. No goodwill or intangible assets were recognized. Consequently, the unaudited condensed consolidated financial statements of the Company reflect the operations of Former Dianthus for accounting purposes together with a deemed issuance of shares, equivalent to the shares held by the former stockholders of Magenta, the legal acquirer, and a recapitalization of the equity of Former Dianthus, the accounting acquirer.</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part of the recapitalization, the Company obtained the assets and liabilities listed below:</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$69,738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81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71,595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 incurred $0.5 million in stock-based compensation expense as a result of the acceleration of vesting of stock options and restricted share units for certain former employees of Magenta at the time of the Reverse Merger. Of this amount, $0.2 million was recorded in the research and development expenses line item and $0.3 million was recorded in the general and administrative expenses in the accompanying unaudited condensed consolidated statements of operations and comprehensive loss for the each of the three and nine months ended September 30, 2023. Additionally, the Company incurred transaction costs of $4.0 million, and this amount was recorded as a reduction to additional paid-in capital in the unaudited condensed consolidated statements of convertible preferred stock and stockholders’ equity/(deficit) for the three and nine months ended September 30, 2023.</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CVRs issued in connection with the Reverse Merger, the Company believes that the achievement of the milestones outlined in the CVR Agreement are highly susceptible to factors outside the Company’s influence that are not expected to be resolved for a long period of time, if at all. In particular, these amounts are primarily influenced by the actions and judgments of third parties and the buyers of such assets and are based on the buyers of such assets progressing the in-process research and development assets into clinical trials, and in the case of one of the agreements, to a regulatory milestone. If the Company were to record a receivable for such contingent payments, it would also record a corresponding liability. As of September 30, 2023, no receivables are recorded on the balance sheet relating to such contingent payments.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short-term investments: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20" w:type="dxa"/>
            <w:vAlign w:val="bottom"/>
          </w:tcPr>
          <w:p>
            <w:pPr>
              <w:jc w:val="center"/>
              <w:ind w:left="8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52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Available-for-sale, short-term investments:</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25,656</w:t>
            </w:r>
          </w:p>
        </w:tc>
        <w:tc>
          <w:tcPr>
            <w:tcW w:w="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w:t>
            </w:r>
          </w:p>
        </w:tc>
        <w:tc>
          <w:tcPr>
            <w:tcW w:w="96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available-for-sale, short-term investments</w:t>
            </w:r>
          </w:p>
        </w:tc>
        <w:tc>
          <w:tcPr>
            <w:tcW w:w="1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70"/>
              </w:rPr>
              <w:t>4</w:t>
            </w:r>
          </w:p>
        </w:tc>
        <w:tc>
          <w:tcPr>
            <w:tcW w:w="640" w:type="dxa"/>
            <w:vAlign w:val="bottom"/>
            <w:vMerge w:val="continue"/>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(2)</w:t>
            </w:r>
          </w:p>
        </w:tc>
        <w:tc>
          <w:tcPr>
            <w:tcW w:w="2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$ 32,588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F-43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3"/>
          </w:tcPr>
          <w:p>
            <w:pPr>
              <w:jc w:val="center"/>
              <w:ind w:left="2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57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Available-for-sale, short-term investments:</w:t>
            </w: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$ 47,630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3</w:t>
            </w:r>
          </w:p>
        </w:tc>
        <w:tc>
          <w:tcPr>
            <w:tcW w:w="4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0" w:type="dxa"/>
            <w:vAlign w:val="bottom"/>
            <w:tcBorders>
              <w:top w:val="single" w:sz="8" w:color="CCEEFF"/>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$47,511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12,614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available-for-sale, short-term investments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$ 60,286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6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prepaid expenses and other current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Prepaid materials, supplies and research and development</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6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820</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subscriptions, software and other administrative services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905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6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property and equipment: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131</w:t>
            </w: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39"/>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89"/>
              </w:rPr>
              <w:t>41</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20"/>
                <w:szCs w:val="20"/>
                <w:color w:val="auto"/>
              </w:rPr>
              <w:t>272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7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172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142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was $19 thousand and $47 thousand in the three and nine months ended September 30, 2023, respectively, and $6 thousand and $19 thousand in the three and nine months ended September 30,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financial assets measured at fair value on a recurring basis: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0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0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Recurring Assets:</w:t>
            </w: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154,549</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$154,549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25,657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3"/>
              </w:rPr>
              <w:t>6,931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187,137</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180,206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3"/>
              </w:rPr>
              <w:t>6,931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F-44</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Recurring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$11,846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c>
          <w:tcPr>
            <w:tcW w:w="5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1,999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20,775</w:t>
            </w:r>
          </w:p>
        </w:tc>
        <w:tc>
          <w:tcPr>
            <w:tcW w:w="5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12,614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59,357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14,613</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have been no transfers between levels for the nine months ended September 30, 2023 or the year ended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accrued expenses: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4,429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issuance costs in connection with pre-closing financing</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transaction costs related to reverse recapitalization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11,197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6,608</w:t>
            </w:r>
          </w:p>
        </w:tc>
      </w:tr>
      <w:tr>
        <w:trPr>
          <w:trHeight w:val="20"/>
        </w:trPr>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leases space under operating leases for administrative offices in New York, New York, and Waltham, Massachusetts and wet laboratory space in Watertown, Massachusetts. The Company also leased office space under operating leases, which had a non-cancelable lease term of less than one year and, therefore, management elected the practical expedient to exclude these short-term leases from right-of-use assets and lease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the components of lease costs and rent: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2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3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$263</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283</w:t>
            </w: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w:t>
            </w:r>
          </w:p>
        </w:tc>
        <w:tc>
          <w:tcPr>
            <w:tcW w:w="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384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color w:val="auto"/>
              </w:rPr>
              <w:t>F-45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82" w:right="5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recorded operating lease costs of $95 thousand and $283 thousand within the general and administrative expenses line item in the unaudited condensed consolidated statements of operations and comprehensive loss for the three and nine months ended September 30, 2023, respectively. The Company recorded operating lease costs of $73 thousand and $148 thousand within the general and administrative expenses line item in the unaudited condensed consolidated statements of operations and comprehensive loss for the three and nine months ended September 30, 2022,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Maturities of operating lease liabilities, which do not include short-term leases, as of September 30, 2023, are as follows:</w:t>
      </w:r>
    </w:p>
    <w:p>
      <w:pPr>
        <w:sectPr>
          <w:pgSz w:w="11900" w:h="16838" w:orient="portrait"/>
          <w:cols w:equalWidth="0" w:num="1">
            <w:col w:w="11060"/>
          </w:cols>
          <w:pgMar w:left="320" w:top="482" w:right="519" w:bottom="1440" w:gutter="0" w:footer="0" w:header="0"/>
        </w:sectPr>
      </w:pP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2023 (remaining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2025</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Total undiscounted operating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24765</wp:posOffset>
            </wp:positionV>
            <wp:extent cx="474916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Long-term lease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30" w:hanging="130"/>
        <w:spacing w:after="0"/>
        <w:tabs>
          <w:tab w:leader="none" w:pos="1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27" w:lineRule="exact"/>
        <w:rPr>
          <w:rFonts w:ascii="Times New Roman" w:cs="Times New Roman" w:eastAsia="Times New Roman" w:hAnsi="Times New Roman"/>
          <w:sz w:val="18"/>
          <w:szCs w:val="18"/>
          <w:color w:val="auto"/>
        </w:rPr>
      </w:pPr>
    </w:p>
    <w:p>
      <w:pPr>
        <w:ind w:left="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w:t>
      </w:r>
    </w:p>
    <w:p>
      <w:pPr>
        <w:spacing w:after="0" w:line="9" w:lineRule="exact"/>
        <w:rPr>
          <w:rFonts w:ascii="Times New Roman" w:cs="Times New Roman" w:eastAsia="Times New Roman" w:hAnsi="Times New Roman"/>
          <w:sz w:val="18"/>
          <w:szCs w:val="18"/>
          <w:color w:val="auto"/>
        </w:rPr>
      </w:pPr>
    </w:p>
    <w:p>
      <w:pPr>
        <w:ind w:left="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w:t>
      </w:r>
    </w:p>
    <w:p>
      <w:pPr>
        <w:spacing w:after="0" w:line="17" w:lineRule="exact"/>
        <w:rPr>
          <w:rFonts w:ascii="Times New Roman" w:cs="Times New Roman" w:eastAsia="Times New Roman" w:hAnsi="Times New Roman"/>
          <w:sz w:val="18"/>
          <w:szCs w:val="18"/>
          <w:color w:val="auto"/>
        </w:rPr>
      </w:pPr>
    </w:p>
    <w:p>
      <w:pPr>
        <w:ind w:left="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w:t>
      </w:r>
    </w:p>
    <w:p>
      <w:pPr>
        <w:spacing w:after="0" w:line="27" w:lineRule="exact"/>
        <w:rPr>
          <w:rFonts w:ascii="Times New Roman" w:cs="Times New Roman" w:eastAsia="Times New Roman" w:hAnsi="Times New Roman"/>
          <w:sz w:val="18"/>
          <w:szCs w:val="18"/>
          <w:color w:val="auto"/>
        </w:rPr>
      </w:pPr>
    </w:p>
    <w:p>
      <w:pPr>
        <w:ind w:left="1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2571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2571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u w:val="single" w:color="auto"/>
          <w:color w:val="auto"/>
        </w:rPr>
        <w:t>$670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2571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54" w:lineRule="exact"/>
        <w:rPr>
          <w:sz w:val="20"/>
          <w:szCs w:val="20"/>
          <w:color w:val="auto"/>
        </w:rPr>
      </w:pPr>
    </w:p>
    <w:p>
      <w:pPr>
        <w:ind w:left="130" w:hanging="130"/>
        <w:spacing w:after="0"/>
        <w:tabs>
          <w:tab w:leader="none" w:pos="1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w:t>
      </w:r>
    </w:p>
    <w:p>
      <w:pPr>
        <w:spacing w:after="0" w:line="27" w:lineRule="exact"/>
        <w:rPr>
          <w:rFonts w:ascii="Times New Roman" w:cs="Times New Roman" w:eastAsia="Times New Roman" w:hAnsi="Times New Roman"/>
          <w:sz w:val="18"/>
          <w:szCs w:val="18"/>
          <w:color w:val="auto"/>
        </w:rPr>
      </w:pPr>
    </w:p>
    <w:p>
      <w:pPr>
        <w:ind w:left="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571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u w:val="single" w:color="auto"/>
          <w:color w:val="auto"/>
        </w:rPr>
        <w:t>$ 670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571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30" w:space="720"/>
            <w:col w:w="2210"/>
          </w:cols>
          <w:pgMar w:left="320" w:top="482" w:right="519" w:bottom="1440" w:gutter="0" w:footer="0" w:header="0"/>
          <w:type w:val="continuous"/>
        </w:sectPr>
      </w:pPr>
    </w:p>
    <w:p>
      <w:pPr>
        <w:spacing w:after="0" w:line="7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operating leases was 22 months and the weighted-average discount rate used to measure the present value of operating lease liabilities was 10.6% as of September 30,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of the Reverse Merger on September 11, 2023, the Company issued an aggregate of 11,021,248 shares of Company common stock to the Former Dianthus stockholders, based on the exchange ratio of approximately 0.2181 shares of Company common stock for each share of Former Dianthus common stock, including those shares of Former Dianthus common stock issued upon the conversion of Former Dianthus preferred stock and those shares of the Former Dianthus common stock issued in the pre-closing financing, resulting in 14,817,762 shares of Company common stock being issued and outstanding immediately following the effective time of the Reverse Merger.</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and December 31, 2022, the Company was authorized to issue up to 150,000,000 shares of $0.001 par value of Company common stock and 8,722,279 shares of $0.0001 par value of Company common stock, respectively. In the Company’s Form 10-Q filing for the period ended September 30, 2023, the Company incorrectly reported that it was authorized to issue up to 40,000,000 shares of $0.0001 par value of Company common stock as of December 31, 2022. As of September 30, 2023 and December 31, 2022, the Company had issued and outstanding shares of 14,817,762 and 875,279, respectively.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share of Company common stock entitles the holder to one vote on all matters submitted to a vote of the Company’s stockholders. Common stockholders are entitled to receive dividends, as may be declared by the Company’s board of directors, if any. No dividends have been declared or paid by the Company through September 30, 2023.</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60"/>
          </w:cols>
          <w:pgMar w:left="320" w:top="482" w:right="51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shares of Company common stock reserved for future issuance as of September 30, 2023 and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594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CCEEFF"/>
            </w:tcBorders>
          </w:tcPr>
          <w:p>
            <w:pPr>
              <w:spacing w:after="0"/>
              <w:rPr>
                <w:sz w:val="15"/>
                <w:szCs w:val="15"/>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7,269,183</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1,772,179</w:t>
            </w:r>
          </w:p>
        </w:tc>
        <w:tc>
          <w:tcPr>
            <w:tcW w:w="4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1,273,454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available for grant under stock awards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767,454</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414,679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the Employee Stock Purchase Plan</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37,078</w:t>
            </w: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214,997</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4,677</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2,791,708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8,961,993</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Preferred Stock and Convertible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was authorized to issue up to 10,000,000 shares of preferred stock at a par value of $0.001. As of September 30, 2023, no shares of preferred stock were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September 11, 2023, the Company completed the Reverse Merger with Former Dianthus in accordance with the Merger Agreement. Under the terms of the Merger Agreement, immediately prior to the effective time of the Reverse Merger, each share of Former Dianthus convertible preferred stock was converted into a share of Former Dianthus common stock. At closing of the Reverse Merger, the Company issued an aggregate of 7,269,183 shares of its common stock to Former Dianthus convertible preferred stockholders, based on the exchange ratio of approximately 0.2181 shares of Company common stock for each share of Former Dianthus common stock outstanding immediately prior to the Reverse Merger.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authorized, issued and outstanding shares of the convertible preferred stock and liquidation preferences of Former Dianthus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were as 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2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(Net of</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8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92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178"/>
        </w:trPr>
        <w:tc>
          <w:tcPr>
            <w:tcW w:w="3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Series Seed 1 Convertible Preferred</w:t>
            </w:r>
          </w:p>
        </w:tc>
        <w:tc>
          <w:tcPr>
            <w:tcW w:w="3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3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2019, April 2020 and December 2020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Seed 2 Convertible Preferred</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3,829,266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3,829,265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3.9172</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14,912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3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2022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23,007,017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23,007,017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96,676</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33,336,283</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33,336,282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121,500</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118,024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18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8"/>
                <w:szCs w:val="18"/>
                <w:color w:val="auto"/>
              </w:rPr>
              <w:t>F-47</w:t>
            </w: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00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Incentive Plan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grants stock-based awards under the Amended and Restated Dianthus Therapeutics, Inc. Stock Option and Incentive Plan (the “2018 Incentive Plan”), which originally became effective on June 19, 2018 as the Magenta Therapeutics, Inc. 2018 Stock Option and Incentive Plan and was amended and restated in September 2023 and renamed the Amended and Restated Dianthus Therapeutics, Inc. Stock Option and Incentive Plan. The 2018 Incentive Plan provides for the grant of incentive stock options, nonqualified stock options, stock appreciation rights, restricted stock awards, restricted stock units, unrestricted stock awards, cash-based awards, and dividend equivalent rights. In connection with the Reverse Merger, the 2018 Incentive Plan also provides for the assumption of shares remaining available for delivery under the 2019 Stock Plan (as defined below), and such shares will be available for the granting of awards under the 2018 Incentive Plan in accordance with applicable stock exchange requirements. The Company also has outstanding stock options under the Magenta Therapeutics, Inc. 2016 Stock Option and Grant Plan, as amended (the “2016 Plan”), but is no longer granting awards under the 2016 Plan.</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Following the Reverse Stock Split effected on September 11, 2023, and after adjustments for the assumption of shares available under the 2019 Stock Plan, the number of shares reserved for issuance under the 2018 Incentive Plan is equal to 1,039,611 shares of the Company’s common stock. The 2018 Incentive Plan provides that the number of shares reserved and available for issuance under the 2018 Incentive Plan will automatically increase each January 1 beginning with January 1, 2024 by 4% of the outstanding number of shares of the Company’s common stock on the immediately preceding December 31 or such lesser number of shares as determined by the Company’s board of directors or compensation committee of the board of directors. This number is subject to adjustment in the event of a stock split, stock dividend or other change in capitalization. Shares of common stock underlying any awards under the 2018 Incentive Plan and the 2016 Plan that are forfeited, cancelled, held back upon exercise or settlement of an award to satisfy the exercise price or tax withholding, reacquired by the Company prior to vesting, satisfied without any issuance of stock, expire or are otherwise terminated (other than by exercise) will be available for future awards under the 2018 Incentive Plan. As of September 30, 2023, 767,454 shares of the Company’s common stock were available for issuance under the 2018 Incentive Plan.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2018 Incentive Plan is administered by either the board of directors or the compensation committee of the board of directors. The exercise prices, vesting and other restrictions are determined at the discretion of the administrator, except that the term of stock options and stock appreciation rights may not be greater than ten years (or five years for certain incentive stock options). Awards typically vest over 12 months to four years. The exercise price for stock options granted may not be less than the fair value of common stock as of the date of grant (or 110% of the fair value of common stock for certain incentive stock options). The fair value of common stock is based on quoted market prices.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Plan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July 2019, Former Dianthus’ Board of Directors adopted, and the Former Dianthus’ stockholders approved, the Dianthus Therapeutics, Inc. 2019 Stock Plan (the “2019 Stock Plan”). In connection with the Reverse Merger, the Company assumed options to purchase shares of Former Dianthus’s common stock that were outstanding under the 2019 Stock Plan immediately prior to the Reverse Merger and such options were converted into options to purchase 1,486,408 shares of Company’s common stock (the “Assumed Options”). No further awards will be made under the 2019 Stock Plan; however, the Assumed Options will remain outstanding under the 2019 Stock Plan in accordance with their terms, as adjusted to reflect the Reverse Merger.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Employees may elect to participate in the Magenta Therapeutics, Inc. 2019 Employee Stock Purchase Plan (the “ESPP”). The purchase price of common stock under the ESPP is equal to 85% of the lower of the fair market value of the common stock on the offering date or the exercise date. The six-month offering periods previously began in December and June of each year. Offerings under the ESPP were suspended in May 2023. During the nine months ended September 30, 2023, there were no shares of common stock purchased under the ESPP. During the nine months ended September 30, 2022, 3,106 shares of common stock were purchased under the ESPP at a purchase price per share of $15.84. As of September 30, 2023, 37,078 shares remained available for issuance under the ESPP.</w:t>
      </w:r>
    </w:p>
    <w:p>
      <w:pPr>
        <w:spacing w:after="0" w:line="18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ESPP provides that the number of shares reserved and available for issuance under the ESPP will automatically increase each January 1 through January 1, 2029, by the lesser of (i) 1% of the number of shares issued and outstanding on the immediately preceding December 31, (ii) 1,000,000 shares and (iii) such number of shares as determined by the Company’s board of directors or its appointed administrator. The number of shares reserved for issuance under the ESPP did not increase on January 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54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6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1, 2023</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529,773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94.59</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Assumption of options in connection with the Reverse Merger</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1,273,454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7.95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granted, fair value of $10.86 per share</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440,041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1.66</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forfeited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(468,291)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68.14</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September 30, 2023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699,237</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33.25</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Unvested options at September 30, 2023</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1,072,942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9.78</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common stock for those options that had exercise prices lower than the fair value of the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nine months ended September 30, 2023 was $10.86 per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00"/>
          </w:cols>
          <w:pgMar w:left="320" w:top="482"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assumptions used to determine the grant-date fair value of stock options issued, presented on a weighted average basis during the nine months ended September 30, 2023 and 2022.</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9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5300" w:type="dxa"/>
            <w:vAlign w:val="bottom"/>
          </w:tcPr>
          <w:p>
            <w:pPr>
              <w:spacing w:after="0"/>
              <w:rPr>
                <w:sz w:val="12"/>
                <w:szCs w:val="12"/>
                <w:color w:val="auto"/>
              </w:rPr>
            </w:pPr>
          </w:p>
        </w:tc>
        <w:tc>
          <w:tcPr>
            <w:tcW w:w="198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300" w:type="dxa"/>
            <w:vAlign w:val="bottom"/>
          </w:tcPr>
          <w:p>
            <w:pPr>
              <w:spacing w:after="0"/>
              <w:rPr>
                <w:sz w:val="12"/>
                <w:szCs w:val="12"/>
                <w:color w:val="auto"/>
              </w:rPr>
            </w:pPr>
          </w:p>
        </w:tc>
        <w:tc>
          <w:tcPr>
            <w:tcW w:w="198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3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6.0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86.4%</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nine months ended September 30,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7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5280" w:type="dxa"/>
            <w:vAlign w:val="bottom"/>
          </w:tcPr>
          <w:p>
            <w:pPr>
              <w:spacing w:after="0"/>
              <w:rPr>
                <w:sz w:val="12"/>
                <w:szCs w:val="12"/>
                <w:color w:val="auto"/>
              </w:rPr>
            </w:pPr>
          </w:p>
        </w:tc>
        <w:tc>
          <w:tcPr>
            <w:tcW w:w="17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73"/>
        </w:trPr>
        <w:tc>
          <w:tcPr>
            <w:tcW w:w="5280" w:type="dxa"/>
            <w:vAlign w:val="bottom"/>
          </w:tcPr>
          <w:p>
            <w:pPr>
              <w:spacing w:after="0"/>
              <w:rPr>
                <w:sz w:val="15"/>
                <w:szCs w:val="15"/>
                <w:color w:val="auto"/>
              </w:rPr>
            </w:pPr>
          </w:p>
        </w:tc>
        <w:tc>
          <w:tcPr>
            <w:tcW w:w="17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w:t>
            </w: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share units granted</w:t>
            </w: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7,696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(6,495)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68.96</w:t>
            </w: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share units forfeited</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(17,285)</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43.22</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April 2020, Former Dianthus executed a restricted stock award agreement with a consultant to purchase 3,052 shares of common stock at an exercise price of $0.14 per share. The restricted stock award vests over a four-year requisite service period, with 25% vesting on the first anniversary of the vesting commencement date and 2.0833% per month thereafter. The agreement contains restrictions on the ability to sell, assign or pledge the shares awarded. The restricted stock agreement contains a right of repurchase whereby, at the election of the Company, the Company may purchase back all unvested stock should the relationship between the recipient and the Company cease. The fair value of the restricted stock award on the date of the award was $0.14 per share.</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Former Dianthus has not issued any restricted stock since April 2020. As of September 30, 2023, a total of 2,989 shares of restricted common stock were vested and 63 shares remained unvested. As of September 30, 2023, the unrecognized stock-based compensation expense for the restricted award was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April 2021, Former Dianthus issued 4,677 warrants for the purchase of common stock at an exercise price of $1.65 per share. The warrants vested on July 30, 2023 and have a grant date fair value of $1.16 per warrant. Former Dianthus has not issued any warrants since April 2021. As of September 30, 2023, the warrants have a weighted average remaining contractual term of 7.6 years.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82"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stock-based compensation expense related to stock options, restricted stock units, restricted stock, and warrants: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142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1,179</w:t>
            </w:r>
          </w:p>
        </w:tc>
        <w:tc>
          <w:tcPr>
            <w:tcW w:w="8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2,174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1,005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there was $7.8 million of total unrecognized compensation cost related to granted stock options. The Company expects to recognize that cost over a remaining weighted-average period of 2.6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License Revenue – Related Party</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an Option Agreement with Zenas (“Zenas Option”), a related party (See Note 16). Through the Zenas Option, the Company provided Zenas an option to enter into an exclusive license agreement for the development and commercialization of products arising from its research of monoclonal antibody antagonists targeting certain specific complement proteins.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September 2021, the Company notified Zenas that it had elected the first antibody sequence as a clinical candidate. In October 2021, Zenas notified the Company that it was exercising its option for such clinical candidate. The Zenas Option provided that upon the exercise of the option, the Company would negotiate in good faith a license agreement with Zenas pursuant to which it would grant Zenas the exclusive license with respect to the antibody sequences for the Zenas Territory, which includes People’s Republic of China, including Hong Kong, Macau, and Taiwan. In accordance with Zenas Option, within 60 days following the execution of a license agreement, Zenas agreed to pay the Company a one-time payment of $1.0 million for the exercise of the corresponding option. In addition, in connection with the exercise of the Zenas Option, Zenas was required to reimburse the Company for a portion of chemistry, manufacturing, and controls-related (“CMC”) costs and expenses from the date of delivery of its option exercise notice through the execution of a license agreement.</w:t>
      </w:r>
    </w:p>
    <w:p>
      <w:pPr>
        <w:spacing w:after="0" w:line="19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In June 2022, the Company and Zenas executed the license agreement (“Zenas License”). The Zenas Option and Zenas License are collectively referred to as the “Zenas Agreements.” The Zenas License provides Zenas with a license in the People’s Republic of China, including Hong Kong, Macau, and Taiwan, for the development and commercialization of sequences and products under the first antibody sequence. The Company is also obligated to perform certain research and development and CMC services, and will also participate in a joint steering committee (“JSC”). Under the Zenas License, Zenas also has the right to exercise an option with respect to a second antibody sequence. If Zenas exercises the option and pays the Company the option exercise fee related to the second antibody sequence, the Company will grant Zenas an exclusive license to the sequences and products under this second antibody sequence.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the Zenas Agreements were negotiated with a single commercial objective, they are treated as a combined contract for accounting purposes. The Company assessed the Zenas Agreements in accordance with ASC 606 and concluded that it represents a contract with a customer and is within the scope of ASC 606. The Company determined that there is one combined performance obligation that consists of the license and data transfer, the research and development and CMC services, and the participation in the JSC. The Company determined that Zenas’ right to exercise an option with respect to a second antibody sequence does not represent a material right.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00"/>
          </w:cols>
          <w:pgMar w:left="320" w:top="482"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consideration under the Zenas Agreements includes the following payments by Zenas to the Company: (i) a $1.0 million upfront payment upon execution of the Zenas License; (ii) an approximate $1.1 million payment representing reimbursement for a portion of development costs previously incurred by the Company; (iii) reimbursement of a portion of all CMC-related costs and expenses for the first antibody sequence through the manufacture of the first two batches of drug product, up to a pre-defined annual limit; (iv) reimbursement of a portion of all non-CMC-related costs and expenses for the development of the first antibody sequence through the first regulatory approval, up to a pre-defined annual limit; (v) development milestones totaling up to $11.0 million; and (vi) royalties on net sales ranging from the mid-single digits to the low teens.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determined that the combined performance obligation is satisfied over time; therefore, the Company will recognize the transaction price from the license agreement over the Company’s estimated period to complete its activities. The Company concluded that it would utilize a cost-based input method to measure its progress toward completion of its performance obligation and to calculate the corresponding amount of revenue to recognize each period. The Company believes this is the best measure of progress because other measures do not reflect how the Company transfers its performance obligation to Zenas. In applying the cost-based input method of revenue recognition, the Company uses actual costs incurred relative to budgeted costs expected to be incurred for the combined performance obligation. These costs consist primarily of third-party contract costs. Revenue will be recognized based on the level of costs incurred relative to the total budgeted costs for the combined performance obligation. A cost-based input method of revenue recognition requires management to make estimates of costs to complete the Company’s performance obligation. In making such estimates, judgment is required to evaluate assumptions related to cost estimates.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also determined that the milestone payments of $11.0 million are variable consideration under ASC 606 which need to be added to the transaction price when it is probable that a significant revenue reversal will not occur. Based on the nature of the milestones, such as the regulatory approvals which are generally not within the Company’s control, the Company will not consider achievement of this milestone to be probable until the uncertainty associated with such milestone has been resolved. When it is probable that a significant reversal of revenue will not occur, the milestone payment will be added to the transaction price for which the Company recognizes revenue. As of September 30, 2023, no milestones have been achieved.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is a sales or usage-based royalty exception within ASC 606 that applies when a license of intellectual property is the predominant item to which the royalty relates. In accordance with this royalty exception, the Company will recognize royalty revenue at the later of (i) when the related sales occur, or (ii) when the performance obligation to which some or all of the royalty has been allocated has been satisfied (or partially satisfied). As of September 30, 2023, no royalty revenue has been recognized.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and nine months ended September 30, 2023, the Company recognized related party license revenue totaling $0.9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 million, respectively, associated with the Zenas Agreements. For the three and nine months ended September 30, 2022, the Company recognized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license revenue totaling $1.2 million and $5.2 million, respectively, associated with the Zenas Agreements. As of September 30, 2023,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recorded a related party receivable of $0.2 million, unbilled related party receivable of $0.5 million, current deferred related party revenue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and noncurrent deferred related party revenue of $0.7 million on its unaudited condensed consolidated balance sheet. As of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the Company recorded a related party receivable of $4.7 million, unbilled related party receivable of $0.9 million, current deferred related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of $0.1 million and noncurrent deferred related party revenue of $0.8 million on its unaudited condensed consolidated balance sheet.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82"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common share were calculated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(32,992)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(18,360)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3,907,075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875,279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1,896,983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875,279</w:t>
            </w:r>
          </w:p>
        </w:tc>
      </w:tr>
      <w:tr>
        <w:trPr>
          <w:trHeight w:val="198"/>
        </w:trPr>
        <w:tc>
          <w:tcPr>
            <w:tcW w:w="5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weighted-average unvested restricted shares of common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w:t>
            </w:r>
          </w:p>
        </w:tc>
      </w:tr>
      <w:tr>
        <w:trPr>
          <w:trHeight w:val="205"/>
        </w:trPr>
        <w:tc>
          <w:tcPr>
            <w:tcW w:w="50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Weighted-average shares used to compute net loss per common</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basic and diluted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3,906,886</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874,327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1,896,605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874,138</w:t>
            </w: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convertible preferred stock, stock options, unvested restricted shares of common stock, and warrants for the purchase of common stock, have been excluded from the computation of diluted net loss per share as the effect would be antidilutive. Therefore, the weighted-average number of common shares outstanding used to calculate both basic and diluted net loss per share is the same. The following potential dilutive securities, presented on an as converted basis, were excluded from the calculation of net loss per share due to their anti-dilutive effect:</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0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60" w:type="dxa"/>
            <w:vAlign w:val="bottom"/>
          </w:tcPr>
          <w:p>
            <w:pPr>
              <w:spacing w:after="0"/>
              <w:rPr>
                <w:sz w:val="15"/>
                <w:szCs w:val="15"/>
                <w:color w:val="auto"/>
              </w:rPr>
            </w:pPr>
          </w:p>
        </w:tc>
        <w:tc>
          <w:tcPr>
            <w:tcW w:w="240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7,269,183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7,269,183</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1,772,179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1,253,415</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1,772,179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1,253,415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214,997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4,677</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214,997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4,677</w:t>
            </w:r>
          </w:p>
        </w:tc>
      </w:tr>
      <w:tr>
        <w:trPr>
          <w:trHeight w:val="27"/>
        </w:trPr>
        <w:tc>
          <w:tcPr>
            <w:tcW w:w="5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1,987,239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8,528,101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1,987,239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8,528,101</w:t>
            </w:r>
          </w:p>
        </w:tc>
      </w:tr>
      <w:tr>
        <w:trPr>
          <w:trHeight w:val="20"/>
        </w:trPr>
        <w:tc>
          <w:tcPr>
            <w:tcW w:w="5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LLC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2019, the Company entered into a license agreement with Alloy Therapeutics, LLC (“Alloy”). The license agreement was amended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2022. The license agreement with Alloy grants to the Company the following:</w:t>
      </w:r>
    </w:p>
    <w:p>
      <w:pPr>
        <w:spacing w:after="0" w:line="112" w:lineRule="exact"/>
        <w:rPr>
          <w:sz w:val="20"/>
          <w:szCs w:val="20"/>
          <w:color w:val="auto"/>
        </w:rPr>
      </w:pPr>
    </w:p>
    <w:p>
      <w:pPr>
        <w:ind w:left="1080" w:right="2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non-exclusive license to use the Alloy technology solely to generate Alloy antibodies and platform assisted antibodies for internal, non-clinical research purposes,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9" w:lineRule="auto"/>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Alloy antibodies and platform assisted antibodies that are selected by the Company for inclusion into a partnered antibody program, a worldwide, assignable license to make, have made, use, offer for sale, sell, import, develop, manufacture, and commercialize products comprising partnered antibody programs selected from Alloy antibodies and platform assisted antibodies in any field of use.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82"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pays annual license fees and annual partnered antibody program fees totaling $0.1 million to Alloy. The Company is also obligated to pay a $0.1 million fee to Alloy if the Company sublicenses a product developed with Alloy antibodies or platform assisted antibodies. Upon the achievement, with the first selected antibody for products developed with Alloy, of (i) certain development milestones and (ii) certain commercial milestones, the Company is obligated to make additional payments to Alloy of up to $1.8 million and $11.0 million, respectively. Upon the achievement, with the second selected antibody for products developed with Alloy, of (i) certain development milestones and (ii) certain commercial milestones, the Company is obligated to make additional payments to Alloy of up to $3.1 million and $15.0 million, respectively. The Company recorded $50 thousand and $0.1 million during the three and nine months ended September 30, 2023, respectively, and $50 thousand during each of the three and nine months ended September 30, 2022, for amounts owed under the Alloy license agreement within the research and development expenses line item in the unaudited condensed consolidated statement of operations and comprehensive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Crystal Bioscience, Inc. and OmniAb, Inc.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2022, the Company entered into a commercial platform license agreement and services agreement with Crystal Bioscience,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(“Crystal”) and OmniAb, Inc. (“OmniAb”), both subsidiaries of Ligand Pharmaceuticals Incorporated (collectively, “Ligand”).</w:t>
      </w:r>
    </w:p>
    <w:p>
      <w:pPr>
        <w:spacing w:after="0" w:line="112" w:lineRule="exact"/>
        <w:rPr>
          <w:sz w:val="20"/>
          <w:szCs w:val="20"/>
          <w:color w:val="auto"/>
        </w:rPr>
      </w:pPr>
    </w:p>
    <w:p>
      <w:pPr>
        <w:ind w:left="1080" w:right="1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Crystal granted the Company a worldwide, non-exclusive, non-sublicensable license under the Crystal technology to use chicken animals (solely at Crystal’s facilities and through Crystal personnel) for generation of OmniAb Antibodies for research purposes.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OmniAb granted the Company a worldwide, non-exclusive license under the OmniAb technology to use rodent animals (solely at approved contract research organization (“CRO”) facilities and through approved CRO personnel) for generation of OmniAb Antibodies for research purposes. Such license is non-sublicensable except to an approved CRO.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achievement of certain development milestones, the Company is obligated to make additional payments to Ligand of up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$12.2 million. Upon the achievement of certain commercial milestones, the Company is obligated to make royalty payments in the low to mid-single digits. The Company did not record any amounts owed under the Ligand license agreement during the three September 30, 2023. The Company recorded $0.2 million during the nine months ended September 30, 2023 and $0.1 million during each of the three and nine months ended September 30, 2022, for amounts owed under the Ligand license agreement within the research and development expenses line item in the unaudited condensed consolidated statement of operations and comprehensive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IONTAS Limited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July 2020, the Company entered into a collaborative research agreement with IONTAS Limited (“IONTAS”) to perform certain milestone-based research and development activities for the Company under its first development program. This agreement was amended in January 2023 to extend their services to additional development programs. IONTAS provides dedicated resources to perform the research and development activities and receives compensation for those resources as well as success-based milestone payments.</w:t>
      </w:r>
    </w:p>
    <w:p>
      <w:pPr>
        <w:spacing w:after="0" w:line="180" w:lineRule="exact"/>
        <w:rPr>
          <w:sz w:val="20"/>
          <w:szCs w:val="20"/>
          <w:color w:val="auto"/>
        </w:rPr>
      </w:pPr>
    </w:p>
    <w:p>
      <w:pPr>
        <w:ind w:left="120" w:right="380" w:firstLine="440"/>
        <w:spacing w:after="0" w:line="256" w:lineRule="auto"/>
        <w:rPr>
          <w:sz w:val="20"/>
          <w:szCs w:val="20"/>
          <w:color w:val="auto"/>
        </w:rPr>
      </w:pPr>
      <w:r>
        <w:rPr>
          <w:rFonts w:ascii="Times New Roman" w:cs="Times New Roman" w:eastAsia="Times New Roman" w:hAnsi="Times New Roman"/>
          <w:sz w:val="18"/>
          <w:szCs w:val="18"/>
          <w:color w:val="auto"/>
        </w:rPr>
        <w:t>Upon the achievement, with the first development program with IONTAS, of (i) certain development milestones and (ii) certain commercial milestones, the Company is obligated to make additional payments to IONTAS of up to £3.1 million (approximately $3.9 million) and £2.3 million (approximately $2.9 million), respectively. Upon the achievement, with the second development program with IONTAS, of certain development milestones, the Company is obligated to make additional payments to IONTAS of up to £2.5 million (approximately $3.1 million). The Company recorded $0.6 million and $2.0 million during the three and nine months ended September 30, 2023, respectively, and $0.2 million and $0.8 million during the three and nine months ended September 30, 2022, respectively, for amounts owed under the IONTAS collaborative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research license agreement within the research and development expenses line item in the unaudited condensed consolidated statement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employees, consultants, vendors, business partners and other parties with respect to certain matters including, but not limited to, losses arising out of breach of such agreements or from intellectual property infringement claims made by third parties. To date, the Company has not incurred any material costs as a result of such indemnification agreements. The Company is not aware of any indemnification arrangements that could have a material effect on its financial position, results of operations or cash flows, and has not accrued any liabilities related to such obligations in its unaudited condensed consolidated financial statements as of September 30, 2023 and December 31,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exposed to litigation relating to potential products and operations. The Company is not currently engaged in any legal proceedings that are expected, individually or in the aggregate, to have a material adverse effect on its financial condition, results of operations or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 had standing agreements with consultants, contractors or service providers whose terms do not yield material long-term commitments.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Viridian, LLC</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June 2019, the Company entered into a Technology Assignment Agreement (the “TAA”) with Viridian, LLC (“Viridian”), a related party. The Company considers Viridian to be a related party because two of its members have a seat on the Board of Directors of the Company. The TAA assigns to the Company exclusively throughout the world all rights, title, and interest to all technology and know-how applicable to the research, development, commercialization, and manufacturing of human therapeutic products that target a specific protein. In exchange for the TAA, the Company issued to Viridian 872,227 shares of the Company’s common stock with a fair value of $0.09 per share. There are no future obligations to Viridian in connection with the TAA. As of September 30, 2023, Viridian owned approximately 7% of the Company’s outstanding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Zenas BioPharma Limited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 party to option and license agreements with Zenas, a related party. The Company considers Zenas to be a related party because</w:t>
      </w:r>
    </w:p>
    <w:p>
      <w:pPr>
        <w:spacing w:after="0" w:line="27" w:lineRule="exact"/>
        <w:rPr>
          <w:sz w:val="20"/>
          <w:szCs w:val="20"/>
          <w:color w:val="auto"/>
        </w:rPr>
      </w:pPr>
    </w:p>
    <w:p>
      <w:pPr>
        <w:ind w:left="120" w:right="40" w:hanging="4"/>
        <w:spacing w:after="0" w:line="251" w:lineRule="auto"/>
        <w:tabs>
          <w:tab w:leader="none" w:pos="3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Tellus BioVentures LLC (“Tellus”), whose sole member is a significant shareholder in the Company and serves as Chairman of the Board of Directors of the Company, is also a significant shareholder in Zenas and serves as Chief Executive Officer and Chairman of the Board of Directors of Zenas and (ii) Fairmount Healthcare Fund LP and Fairmount Healthcare Fund II LP (together, the “Fairmount Funds”), who are significant shareholders in the Company and have a seat on the Board of Directors of the Company, are also significant shareholders in Zenas and have a seat on the Board of Directors of Zenas. As of September 30, 2023, Tellus and affiliated entities owned approximately 10%, and the Fairmount Funds and affiliated entities owned approximately 13% of the Company’s outstanding shares. See Note 13 for more information. In connection with these agreements, the Company recognized $0.9 million and $2.4 million within the license revenue – related party line item in the unaudited condensed consolidated statements of operations and comprehensive loss for the three and nine months ended September 30, 2023, respectively. In connection</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with these agreements, the Company recognized $1.2 million and $5.2 million within the license revenue – related party line item in the unaudited condensed consolidated statements of operations and comprehensive loss for the three and nine months ended September 30, 2022, respectively. As of September 30, 2023, the Company recorded a related party receivable of $0.2 million, unbilled related party receivable of $0.5 million, current deferred related party revenue of $0.1 million and noncurrent deferred related party revenue of $0.7 million on its unaudited condensed consolidated balance sheet. As of December 31, 2022, the Company recorded a related party receivable of $4.7 million, unbilled related party receivable of $0.9 million, current deferred related party revenue of $0.1 million and noncurrent deferred related party revenue of $0.8 million on its unaudited condensed consolidated balance sheet.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2020, Zenas issued 156,848 common shares to the Company in exchange for the Zenas Option. The Company determined that the fair value on the date of issuance and as of September 30, 2023 and December 31, 2022, respectively, was not material to its unaudited condensed consolidated financial statements. The Company used the measurement alternative as the measurement attribute for accounting for the Zenas common shares which does not require it to assess the fair value of the common stock at each reporting period as the fair value of the Zenas common shares is not readily determinable nor is there a reliable source for observable transactions from which the Company could determine a fair value. In addition, the Company does not have ready access to significant events occurring at Zenas. If the Company does identify observable price changes in orderly transactions for the identical or similar common shares of Zenas, the Company will measure the common shares at fair value as of the date that the observable transaction occurred.</w:t>
      </w:r>
    </w:p>
    <w:p>
      <w:pPr>
        <w:spacing w:after="0" w:line="19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March 13, 2023, the Fairmount Funds issued promissory notes in the aggregate principal amount of $0.4 million Former Dianthus at an interest rate of 4.5% per annum. On March 15, 2023, Former Dianthus repaid principal and interest in the amount of $0.4 million to the Fairmount Funds in satisfaction of its obligations under the promissory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Company evaluated subsequent events from September 30, 2023, the date of these unaudited condensed consolidated financial statements, through November 9, 2023, which represents the date the unaudited condensed consolidated financial statements were issued, for events requiring recording or disclosure in the unaudited condensed consolidated financial statements for the three and nine months ended September 30, 2023. The Company concluded that no events have occurred that would require recognition or disclosure in the unaudited condensed consolidated financial statements.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60"/>
          </w:cols>
          <w:pgMar w:left="320" w:top="482"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expenses payable by us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 registration fee:</w:t>
      </w:r>
    </w:p>
    <w:tbl>
      <w:tblPr>
        <w:tblLayout w:type="fixed"/>
        <w:tblInd w:w="188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SEC registration fee</w:t>
            </w:r>
          </w:p>
        </w:tc>
        <w:tc>
          <w:tcPr>
            <w:tcW w:w="20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10,806.92</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435,806.92</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Dianthus has adopted provisions in its charter that limit or eliminate the personal liability of Dianthus’ directors to the fullest extent permitted by the DGCL, as it now exists or may in the future be amended. Consequently, a director will not be personally liable to Dianthus or its stockholders for monetary damages or breach of fiduciary duty as a director, except for liability for:</w:t>
      </w:r>
    </w:p>
    <w:p>
      <w:pPr>
        <w:spacing w:after="0" w:line="8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Dianthus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Dianthus’ bylaws provide that:</w:t>
      </w:r>
    </w:p>
    <w:p>
      <w:pPr>
        <w:spacing w:after="0" w:line="131" w:lineRule="exact"/>
        <w:rPr>
          <w:sz w:val="20"/>
          <w:szCs w:val="20"/>
          <w:color w:val="auto"/>
        </w:rPr>
      </w:pPr>
    </w:p>
    <w:p>
      <w:pPr>
        <w:ind w:left="1080" w:right="5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Dianthus will indemnify its directors, officers and, in the discretion of its board of directors, certain employees to the fullest extent permitted by the DGCL, as it now exists or may in the future be amended; and</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0"/>
          </w:cols>
          <w:pgMar w:left="320" w:top="482" w:right="5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Dianthus will advance expenses, including attorneys’ fees, to its directors and, in the discretion of its board of directors, to its officers and certain employees, in connection with legal proceedings relating to their service for or on behalf of Dianthus, subject to limited exceptions.</w:t>
      </w:r>
    </w:p>
    <w:p>
      <w:pPr>
        <w:spacing w:after="0" w:line="16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Dianthus has entered into indemnification agreements with its directors and executive officers. These agreements provide that Dianthus will indemnify each of its directors and executive officers to the fullest extent permitted by Delaware law. Dianthus will advance expenses, including attorneys’ fees (but excluding judgments, fines and settlement amounts), to each indemnified director or executive officer in connection with any proceeding in which indemnification is available and Dianthus will indemnify its directors and officers for any action or proceeding arising out of that person’s services as a director or officer brought on behalf of Dianthus or in furtherance of Dianthus’ rights. Additionally, certain of Dianthus’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Dianthus has agreed in the indemnification agreements that Dianthus’ obligations to those same directors are primary and any obligation of such affiliates or other third parties to advance expenses or to provide indemnification for the expenses or liabilities incurred by those directors are secondary.</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Dianthus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2, 2023, concurrently with the execution and delivery of the Merger Agreement, and in order to provide Former Dianthus with additional capital for its development programs, Former Dianthus entered into Subscription Agreement, with the Investors, pursuant to which, subject to the terms and conditions of the Subscription Agreement, immediately prior to the effective time of the Merger, Former Dianthus issued and sold, and the Investors purchased, 2,873,988 shares of Former Dianthus common stock and 210,320 pre-funded warrants, exercisable for 210,320 shares of Former Dianthus common stock, at a purchase price of approximately $23.34 per share or $23.34 per warrant, for an aggregate purchase price of approximately</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$72.0 million. The issuance was made in a transaction not involving a public offering pursuant to an exemption from the registration requirements of the Securities Act, in reliance upon Section 4(a)(2) of the Securities Act.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12, 2021, Magenta entered into a securities purchase agreement with certain purchasers pursuant to which Magenta agreed to sell and issue to the purchasers in a private placement shares of common stock of Magenta. At the closing of the private placement on May 14, 2021, Magenta sold and issued to the selling stockholders 9,599,998 shares of its common stock at a purchase price of $9.00 per share. The total purchase price paid by the selling stockholders at the closing was approximately $86.4 million. Magenta issued the shares in reliance on the exemption from registration provided for under Section 4(a)(2) of the Securities Act. Magenta relied on this exemption from registration for private placements based in part on the representations made by the purchasers, including the representations with respect to each purchaser’s investment intent. The offer and sale of the shares was not registered under the Securities Act. Magenta filed a resale registration statement with the SEC on June 25, 2021 to register the resale of the shares. Such information has not been adjusted to reflect the effects of the Reverse Stock Split.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00" w:type="dxa"/>
            <w:vAlign w:val="bottom"/>
            <w:gridSpan w:val="17"/>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50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9760" w:type="dxa"/>
            <w:vAlign w:val="bottom"/>
            <w:gridSpan w:val="28"/>
          </w:tcPr>
          <w:p>
            <w:pPr>
              <w:spacing w:after="0"/>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Agreement and Plan of Merger, dated as of May 2, 2023, by and among Magenta Therapeutics, Inc., Dio Merger Sub, Inc.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Dianthus Therapeutics, Inc. (incorporated by reference to Exhibit 2.1 to our Registration Statement on Form S-4 filed with the SEC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July 31,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Fifth Amended and Restated Certificate of Incorporation (incorporated by reference to Exhibit 3.1 to the Company’s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Form 8-K filed with the SEC on September 12, 2023).</w:t>
              </w:r>
            </w:hyperlink>
          </w:p>
        </w:tc>
        <w:tc>
          <w:tcPr>
            <w:tcW w:w="582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Second Amended and Restated By-laws (incorporated by reference to Exhibit 3.1 to Magenta Therapeutics, Inc.’s Current Report on</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Form 8-K filed with the SEC on December 13,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Form of Pre-Funded Warrant of Dianthus Therapeutics, Inc. (incorporated by reference to Exhibit 4.1 to the Company’s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on Form 8-K filed with the SEC on September 12,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Registration Rights Agreement, dated September 11, 2023, by and among Dianthus Therapeutics, Inc., Dianthus Therapeutics OpCo,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Inc. and certain parties thereto (incorporated by reference to Exhibit 4.2 to the Company’s Current Report on Form 8-K filed with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SEC on September 12, 2023).</w:t>
              </w:r>
            </w:hyperlink>
          </w:p>
        </w:tc>
        <w:tc>
          <w:tcPr>
            <w:tcW w:w="744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24"/>
                <w:szCs w:val="24"/>
                <w:color w:val="auto"/>
              </w:rPr>
            </w:pPr>
          </w:p>
        </w:tc>
        <w:tc>
          <w:tcPr>
            <w:tcW w:w="3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Opinion of Gibson, Dunn &amp; Crutcher LLP.</w:t>
            </w:r>
          </w:p>
        </w:tc>
        <w:tc>
          <w:tcPr>
            <w:tcW w:w="66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7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Contingent Value Rights Agreement, dated September 11, 2023, by and between Dianthus Therapeutics, Inc. and the Rights Agent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(incorporated by reference to Exhibit 10.1 to the Company’s Current Report on Form 8-K filed with the SEC on September 12, 2023).</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10.2#**</w:t>
            </w:r>
          </w:p>
        </w:tc>
        <w:tc>
          <w:tcPr>
            <w:tcW w:w="9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Form of Lock-Up Agreement (incorporated by reference to Exhibit 10.3 to Magenta Therapeutics, Inc.’s Form 8-K filed with the SEC</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on May 3, 2023).</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10.3#**</w:t>
            </w:r>
          </w:p>
        </w:tc>
        <w:tc>
          <w:tcPr>
            <w:tcW w:w="92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Form of Indemnification Agreements for Directors of the Company (incorporated by reference to Exhibit 10.2 to the Company’s</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Current Report on Form 8-K filed with the SEC on September 12, 2023).</w:t>
              </w:r>
            </w:hyperlink>
          </w:p>
        </w:tc>
        <w:tc>
          <w:tcPr>
            <w:tcW w:w="4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10.4#**</w:t>
            </w:r>
          </w:p>
        </w:tc>
        <w:tc>
          <w:tcPr>
            <w:tcW w:w="97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Form of Indemnification Agreements for Officers of the Company (incorporated by reference to Exhibit 10.3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Report on Form 8-K filed with the SEC on September 12, 2023).</w:t>
              </w:r>
            </w:hyperlink>
          </w:p>
        </w:tc>
        <w:tc>
          <w:tcPr>
            <w:tcW w:w="50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10.5#**</w:t>
            </w:r>
          </w:p>
        </w:tc>
        <w:tc>
          <w:tcPr>
            <w:tcW w:w="9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Amended and Restated Dianthus Therapeutics, Inc. Stock Option and Incentive Plan (incorporated by reference to Exhibit 10.4 to the</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Company’s Current Report on Form 8-K filed with the SEC on September 12, 2023).</w:t>
              </w:r>
            </w:hyperlink>
          </w:p>
        </w:tc>
        <w:tc>
          <w:tcPr>
            <w:tcW w:w="3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10.6#**</w:t>
            </w:r>
          </w:p>
        </w:tc>
        <w:tc>
          <w:tcPr>
            <w:tcW w:w="91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Form of Stock Option Agreement for Directors under the Amended and Restated Dianthus Therapeutics, Inc. Stock Option and</w:t>
              </w:r>
            </w:hyperlink>
          </w:p>
        </w:tc>
        <w:tc>
          <w:tcPr>
            <w:tcW w:w="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Incentive Plan (incorporated by reference to Exhibit 99.2 to the Company’s Registration Statement on Form S-8 filed with the SEC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October 4, 2023).</w:t>
              </w:r>
            </w:hyperlink>
          </w:p>
        </w:tc>
        <w:tc>
          <w:tcPr>
            <w:tcW w:w="84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10.7#**</w:t>
            </w:r>
          </w:p>
        </w:tc>
        <w:tc>
          <w:tcPr>
            <w:tcW w:w="92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Dianthus Therapeutics, Inc. 2019 Stock Plan (incorporated by reference to Exhibit 10.17 to Amendment No. 1 to the Company’s</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Registration Statement on Form S-4 filed with the SEC on June 22, 2023).</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360" w:type="dxa"/>
            <w:vAlign w:val="bottom"/>
            <w:gridSpan w:val="13"/>
            <w:shd w:val="clear" w:color="auto" w:fill="0000EE"/>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10.8#**</w:t>
            </w:r>
          </w:p>
        </w:tc>
        <w:tc>
          <w:tcPr>
            <w:tcW w:w="9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Form of Nonstatutory Stock Option Agreement under the Dianthus Therapeutics, Inc. 2019 Stock Plan (incorporated by reference to</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Exhibit 10.18 to Amendment No. 1 to the Company’s Registration Statement on Form S-4 filed with the SEC on June 22, 2023).</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9260" w:type="dxa"/>
            <w:vAlign w:val="bottom"/>
            <w:gridSpan w:val="17"/>
            <w:shd w:val="clear" w:color="auto" w:fill="0000EE"/>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10.9#**</w:t>
            </w:r>
          </w:p>
        </w:tc>
        <w:tc>
          <w:tcPr>
            <w:tcW w:w="9760" w:type="dxa"/>
            <w:vAlign w:val="bottom"/>
            <w:gridSpan w:val="28"/>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Form of Incentive Stock Option Agreement under the Dianthus Therapeutics, Inc. 2019 Stock Plan (incorporated by reference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60" w:type="dxa"/>
            <w:vAlign w:val="bottom"/>
            <w:gridSpan w:val="17"/>
            <w:shd w:val="clear" w:color="auto" w:fill="0000EE"/>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Exhibit 10.19 to Amendment No. 1 to the Company’s Registration Statement on Form S-4 filed with the SEC on June 22,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82"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80" w:type="dxa"/>
            <w:vAlign w:val="bottom"/>
            <w:gridSpan w:val="1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8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20" w:type="dxa"/>
            <w:vAlign w:val="bottom"/>
            <w:gridSpan w:val="2"/>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680" w:type="dxa"/>
            <w:vAlign w:val="bottom"/>
            <w:gridSpan w:val="24"/>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Employment Agreement, dated October 23, 2021, by and between Dianthus Therapeutics, Inc. and Marino Garcia (incorporated by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reference to Exhibit 10.13 to Amendment No. 1 to the Company’s Registration Statement on Form S-4 filed with the SEC on June 22,</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90">
              <w:r>
                <w:rPr>
                  <w:rFonts w:ascii="Times New Roman" w:cs="Times New Roman" w:eastAsia="Times New Roman" w:hAnsi="Times New Roman"/>
                  <w:sz w:val="18"/>
                  <w:szCs w:val="18"/>
                  <w:color w:val="0000EE"/>
                  <w:w w:val="94"/>
                </w:rPr>
                <w:t>2023).</w:t>
              </w:r>
            </w:hyperlink>
          </w:p>
        </w:tc>
        <w:tc>
          <w:tcPr>
            <w:tcW w:w="6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680" w:type="dxa"/>
            <w:vAlign w:val="bottom"/>
            <w:gridSpan w:val="24"/>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Amendment to Offer Letter, dated September 11, 2023, by and between Dianthus Therapeutics OpCo, Inc. and Marino Garcia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(incorporated by reference to Exhibit 10.5 to the Company’s Current Report on Form 8-K filed with the SEC on September 12,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Offer Letter, as amended, dated March 11, 2022, by and between Dianthus Therapeutics, Inc. and Simrat Randhawa (incorporated by</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reference to Exhibit 10.14 to Amendment No. 1 to the Company’s Registration Statement on Form S-4 filed with the SEC on June 22,</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92">
              <w:r>
                <w:rPr>
                  <w:rFonts w:ascii="Times New Roman" w:cs="Times New Roman" w:eastAsia="Times New Roman" w:hAnsi="Times New Roman"/>
                  <w:sz w:val="18"/>
                  <w:szCs w:val="18"/>
                  <w:color w:val="0000EE"/>
                  <w:w w:val="94"/>
                </w:rPr>
                <w:t>2023).</w:t>
              </w:r>
            </w:hyperlink>
          </w:p>
        </w:tc>
        <w:tc>
          <w:tcPr>
            <w:tcW w:w="6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Offer Letter, dated January 18, 2022, by and between Dianthus Therapeutics, Inc. and Ryan Savitz (incorporated by reference to</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Exhibit 10.15 to Amendment No. 1 to the Company’s Registration Statement on Form S-4 filed with the SEC on June 22, 2023).</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8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Amendment to Offer Letter, dated September 11, 2023, by and between Dianthus Therapeutics OpCo, Inc. and Ryan Savitz</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(incorporated by reference to Exhibit 10.6 to the Company’s Current Report on Form 8-K filed with the SEC on September 12,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680" w:type="dxa"/>
            <w:vAlign w:val="bottom"/>
            <w:gridSpan w:val="24"/>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Director Compensation Letter, dated May 6, 2022, by and between Dianthus Therapeutics, Inc. and Paula Soteropoulos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by reference to Exhibit 10.16 to Amendment No. 1 to the Company’s Registration Statement on Form S-4 filed with the SEC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June 22, 2023).</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Separation Agreement, dated September 11, 2023, by and between Magenta Therapeutics, Inc. and Stephen Mahoney (incorporated</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by reference to Exhibit 10.12 to the Company’s Quarterly Report on Form 10-Q filed with the SEC on November 9, 2023).</w:t>
              </w:r>
            </w:hyperlink>
          </w:p>
        </w:tc>
        <w:tc>
          <w:tcPr>
            <w:tcW w:w="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680" w:type="dxa"/>
            <w:vAlign w:val="bottom"/>
            <w:gridSpan w:val="24"/>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Biologics Master Services Agreement, dated as of March 22, 2021, by and between Dianthus Therapeutics, Inc. and WuXi Biologics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(Hong Kong) Limited (incorporated by reference to Exhibit 10.24 to the Company’s Amendment No. 2 to the Company’s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24"/>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Statement on Form S-4 filed with the SEC on July 17, 2023).</w:t>
              </w:r>
            </w:hyperlink>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Cell Line License Agreement, dated as of March 22, 2021, by and between Dianthus Therapeutics, Inc. and WuXi Biologics (Hong</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24"/>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Kong) Limited (incorporated by reference to Exhibit 10.25 to the Company’s Amendment No. 2 to the Company’s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Statement on Form S-4 filed with the SEC on July 17, 2023).</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16.1**</w:t>
            </w:r>
          </w:p>
        </w:tc>
        <w:tc>
          <w:tcPr>
            <w:tcW w:w="820" w:type="dxa"/>
            <w:vAlign w:val="bottom"/>
          </w:tcPr>
          <w:p>
            <w:pPr>
              <w:spacing w:after="0"/>
              <w:rPr>
                <w:sz w:val="24"/>
                <w:szCs w:val="24"/>
                <w:color w:val="auto"/>
              </w:rPr>
            </w:pPr>
          </w:p>
        </w:tc>
        <w:tc>
          <w:tcPr>
            <w:tcW w:w="9680" w:type="dxa"/>
            <w:vAlign w:val="bottom"/>
            <w:gridSpan w:val="24"/>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Letter from KPMG, LLP, dated September 12, 2023 (incorporated by reference to Exhibit 16.1 to the Company’s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Form 8-K filed with the SEC on September 12, 2023).</w:t>
              </w:r>
            </w:hyperlink>
          </w:p>
        </w:tc>
        <w:tc>
          <w:tcPr>
            <w:tcW w:w="556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20" w:type="dxa"/>
            <w:vAlign w:val="bottom"/>
          </w:tcPr>
          <w:p>
            <w:pPr>
              <w:spacing w:after="0"/>
              <w:rPr>
                <w:sz w:val="24"/>
                <w:szCs w:val="24"/>
                <w:color w:val="auto"/>
              </w:rPr>
            </w:pP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tcPr>
          <w:p>
            <w:pPr>
              <w:spacing w:after="0"/>
              <w:rPr>
                <w:sz w:val="24"/>
                <w:szCs w:val="24"/>
                <w:color w:val="auto"/>
              </w:rPr>
            </w:pP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 accounting firm of Dianthus Therapeutics, Inc.</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20" w:type="dxa"/>
            <w:vAlign w:val="bottom"/>
          </w:tcPr>
          <w:p>
            <w:pPr>
              <w:spacing w:after="0"/>
              <w:rPr>
                <w:sz w:val="24"/>
                <w:szCs w:val="24"/>
                <w:color w:val="auto"/>
              </w:rPr>
            </w:pPr>
          </w:p>
        </w:tc>
        <w:tc>
          <w:tcPr>
            <w:tcW w:w="81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Gibson, Dunn &amp; Crutcher LLP (included in Exhibit 5.1).</w:t>
            </w:r>
          </w:p>
        </w:tc>
        <w:tc>
          <w:tcPr>
            <w:tcW w:w="1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20" w:type="dxa"/>
            <w:vAlign w:val="bottom"/>
            <w:gridSpan w:val="7"/>
            <w:shd w:val="clear" w:color="auto" w:fill="0000EE"/>
          </w:tcPr>
          <w:p>
            <w:pPr>
              <w:spacing w:after="0" w:line="20" w:lineRule="exact"/>
              <w:rPr>
                <w:sz w:val="1"/>
                <w:szCs w:val="1"/>
                <w:color w:val="auto"/>
              </w:rPr>
            </w:pPr>
          </w:p>
        </w:tc>
        <w:tc>
          <w:tcPr>
            <w:tcW w:w="464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24.1**</w:t>
            </w:r>
          </w:p>
        </w:tc>
        <w:tc>
          <w:tcPr>
            <w:tcW w:w="820" w:type="dxa"/>
            <w:vAlign w:val="bottom"/>
          </w:tcPr>
          <w:p>
            <w:pPr>
              <w:spacing w:after="0"/>
              <w:rPr>
                <w:sz w:val="24"/>
                <w:szCs w:val="24"/>
                <w:color w:val="auto"/>
              </w:rPr>
            </w:pPr>
          </w:p>
        </w:tc>
        <w:tc>
          <w:tcPr>
            <w:tcW w:w="9680" w:type="dxa"/>
            <w:vAlign w:val="bottom"/>
            <w:gridSpan w:val="24"/>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Power of Attorney (included on the signature page to the registration statement on Form S-3 filed with the SEC on October 4, 2023).</w:t>
              </w:r>
            </w:hyperlink>
          </w:p>
        </w:tc>
        <w:tc>
          <w:tcPr>
            <w:tcW w:w="0" w:type="dxa"/>
            <w:vAlign w:val="bottom"/>
          </w:tcPr>
          <w:p>
            <w:pPr>
              <w:spacing w:after="0"/>
              <w:rPr>
                <w:sz w:val="1"/>
                <w:szCs w:val="1"/>
                <w:color w:val="auto"/>
              </w:rPr>
            </w:pPr>
          </w:p>
        </w:tc>
      </w:tr>
      <w:tr>
        <w:trPr>
          <w:trHeight w:val="345"/>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60" w:type="dxa"/>
            <w:vAlign w:val="bottom"/>
            <w:gridSpan w:val="20"/>
          </w:tcPr>
          <w:p>
            <w:pPr>
              <w:ind w:left="120"/>
              <w:spacing w:after="0"/>
              <w:rPr>
                <w:sz w:val="20"/>
                <w:szCs w:val="20"/>
                <w:color w:val="auto"/>
              </w:rPr>
            </w:pPr>
            <w:r>
              <w:rPr>
                <w:rFonts w:ascii="Times New Roman" w:cs="Times New Roman" w:eastAsia="Times New Roman" w:hAnsi="Times New Roman"/>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5340" w:type="dxa"/>
            <w:vAlign w:val="bottom"/>
            <w:gridSpan w:val="3"/>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5"/>
                <w:szCs w:val="15"/>
                <w:color w:val="auto"/>
              </w:rPr>
            </w:pPr>
          </w:p>
        </w:tc>
        <w:tc>
          <w:tcPr>
            <w:tcW w:w="53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gridSpan w:val="2"/>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20" w:right="9380" w:hanging="4"/>
        <w:spacing w:after="0" w:line="261" w:lineRule="auto"/>
        <w:tabs>
          <w:tab w:leader="none" w:pos="5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540" w:right="140" w:hanging="43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Dianthus Therapeutics, Inc. hereby agrees to furnish supplementally a copy of any omitted annex, schedule or exhibit to the SEC upon request.</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0"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360" w:hanging="244"/>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540" w:right="220" w:hanging="424"/>
        <w:spacing w:after="0" w:line="255"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sz w:val="20"/>
          <w:szCs w:val="20"/>
          <w:color w:val="auto"/>
        </w:rPr>
      </w:pPr>
    </w:p>
    <w:p>
      <w:pPr>
        <w:ind w:left="540" w:right="40" w:hanging="424"/>
        <w:spacing w:after="0" w:line="26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82"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7" w:lineRule="exact"/>
        <w:rPr>
          <w:sz w:val="20"/>
          <w:szCs w:val="20"/>
          <w:color w:val="auto"/>
        </w:rPr>
      </w:pPr>
    </w:p>
    <w:p>
      <w:pPr>
        <w:ind w:left="540" w:hanging="424"/>
        <w:spacing w:after="0" w:line="254"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New York, State of New York, on December 21, 2023.</w:t>
      </w:r>
    </w:p>
    <w:p>
      <w:pPr>
        <w:spacing w:after="0" w:line="3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Ryan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Ryan Savitz</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1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/s/ Marino Garcia</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Marino Garcia</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/s/ Ryan Savitz</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w:t>
            </w:r>
            <w:r>
              <w:rPr>
                <w:rFonts w:ascii="Times New Roman" w:cs="Times New Roman" w:eastAsia="Times New Roman" w:hAnsi="Times New Roman"/>
                <w:sz w:val="18"/>
                <w:szCs w:val="18"/>
                <w:i w:val="1"/>
                <w:iCs w:val="1"/>
                <w:color w:val="auto"/>
                <w:w w:val="99"/>
              </w:rPr>
              <w:t>Principal Financial Officer)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Ryan Savitz</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/s/ Edward Carr</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Edward Carr</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Chair of the Board</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Leon O. Moulder, Jr.</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Tomas Kiselak</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Lei Meng</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Paula Soteropoulos</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Jonathan Violin, Ph.D.</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Alison F. Lawton</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/s/ *</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December 21, 2023</w:t>
            </w:r>
          </w:p>
        </w:tc>
      </w:tr>
      <w:tr>
        <w:trPr>
          <w:trHeight w:val="228"/>
        </w:trPr>
        <w:tc>
          <w:tcPr>
            <w:tcW w:w="414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Anne McGeorge</w:t>
            </w:r>
          </w:p>
        </w:tc>
        <w:tc>
          <w:tcPr>
            <w:tcW w:w="464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Ryan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5457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Ryan Savitz, Attorney-in-fact</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00"/>
          </w:cols>
          <w:pgMar w:left="320" w:top="482" w:right="47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88745"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138874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173990</wp:posOffset>
            </wp:positionV>
            <wp:extent cx="1071880" cy="6172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1071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Client: 23553.00001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Dianthus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Times Square, 43rd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Dianthus Therapeutics,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Registration Statement on Form S-1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acted as counsel to Dianthus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resale from time to time by the selling stockholders named therein of up to 5,464,001 shares of the Company’s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originals, or copies certified or otherwise identified to our satisfaction as being true and complete copies of the originals, of the specimen common stock certificates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assumptions, exceptions, qualifications and limitations set forth herein, we are of the opinion that the Shares, when issued against payment therefor as set forth in the Registration Statement, will be validly issued, fully paid and non-assessable.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38874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13887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pacing w:after="0" w:line="225" w:lineRule="exact"/>
        <w:rPr>
          <w:sz w:val="20"/>
          <w:szCs w:val="20"/>
          <w:color w:val="auto"/>
        </w:rPr>
      </w:pPr>
    </w:p>
    <w:p>
      <w:pPr>
        <w:jc w:val="both"/>
        <w:ind w:left="1200" w:right="1200" w:hanging="17"/>
        <w:spacing w:after="0" w:line="312" w:lineRule="auto"/>
        <w:rPr>
          <w:sz w:val="20"/>
          <w:szCs w:val="20"/>
          <w:color w:val="auto"/>
        </w:rPr>
      </w:pPr>
      <w:r>
        <w:rPr>
          <w:rFonts w:ascii="Times New Roman" w:cs="Times New Roman" w:eastAsia="Times New Roman" w:hAnsi="Times New Roman"/>
          <w:sz w:val="17"/>
          <w:szCs w:val="17"/>
          <w:color w:val="auto"/>
        </w:rPr>
        <w:t>Abu Dhabi • Beijing • Brussels • Century City • Dallas • Denver • Dubai • Frankfurt • Hong Kong • Houston • London • Los Angeles • Munich • New York • Orange County • Palo Alto • Paris • San Francisco • Singapore • Washington, D.C.</w:t>
      </w:r>
    </w:p>
    <w:p>
      <w:pPr>
        <w:sectPr>
          <w:pgSz w:w="11900" w:h="16838" w:orient="portrait"/>
          <w:cols w:equalWidth="0" w:num="1">
            <w:col w:w="11020"/>
          </w:cols>
          <w:pgMar w:left="440" w:top="117" w:right="4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05"/>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2080" w:type="dxa"/>
            <w:vAlign w:val="bottom"/>
          </w:tcPr>
          <w:p>
            <w:pPr>
              <w:spacing w:after="0"/>
              <w:rPr>
                <w:sz w:val="24"/>
                <w:szCs w:val="24"/>
                <w:color w:val="auto"/>
              </w:rPr>
            </w:pPr>
          </w:p>
        </w:tc>
        <w:tc>
          <w:tcPr>
            <w:tcW w:w="52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State of Organization</w:t>
            </w:r>
          </w:p>
        </w:tc>
      </w:tr>
      <w:tr>
        <w:trPr>
          <w:trHeight w:val="30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Magenta Securities Corporation</w:t>
            </w: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Dianthus Therapeutics OpCo, Inc.</w:t>
            </w: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117" w:right="4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333-274863 on Form S-1 of our report dated May 15, 2023 (December 21, 2023, as to the effects of the exchange ratio described in Note 1), relating to the financial statements of Dianthus Therapeutics OpCo, Inc. (formerly Dianthus Therapeutics, Inc.).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ectPr>
          <w:pgSz w:w="11900" w:h="16838" w:orient="portrait"/>
          <w:cols w:equalWidth="0" w:num="1">
            <w:col w:w="11020"/>
          </w:cols>
          <w:pgMar w:left="440" w:top="121" w:right="4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54"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48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4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9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79"/>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Class 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4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Fee Rate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r>
      <w:tr>
        <w:trPr>
          <w:trHeight w:val="233"/>
        </w:trPr>
        <w:tc>
          <w:tcPr>
            <w:tcW w:w="96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center"/>
              <w:ind w:left="438"/>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 to</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1"/>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per share(1)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5,464,001(2)</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$73,217,613.40(3)</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$10,806.92</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right="344"/>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Carry</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5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5"/>
        </w:trPr>
        <w:tc>
          <w:tcPr>
            <w:tcW w:w="9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8"/>
                <w:szCs w:val="18"/>
                <w:color w:val="auto"/>
              </w:rPr>
              <w:t>$73,217,613.40</w:t>
            </w: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$10,806.92</w:t>
            </w:r>
          </w:p>
        </w:tc>
        <w:tc>
          <w:tcPr>
            <w:tcW w:w="5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$10,806.92</w:t>
            </w:r>
          </w:p>
        </w:tc>
        <w:tc>
          <w:tcPr>
            <w:tcW w:w="5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1" w:lineRule="exact"/>
        <w:rPr>
          <w:sz w:val="20"/>
          <w:szCs w:val="20"/>
          <w:color w:val="auto"/>
        </w:rPr>
      </w:pPr>
    </w:p>
    <w:p>
      <w:pPr>
        <w:ind w:left="424" w:right="300" w:hanging="424"/>
        <w:spacing w:after="0" w:line="259"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this registration statement also covers such an indeterminate amount of shares of common stock of the registrant as may become issuable to prevent dilution resulting from stock splits, stock dividends and similar events.</w:t>
      </w:r>
    </w:p>
    <w:p>
      <w:pPr>
        <w:ind w:left="424" w:right="160" w:hanging="424"/>
        <w:spacing w:after="0" w:line="250"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registered consists of (i) 5,253,681 shares of common stock of the registrant held by the selling stockholders for which a registration fee was previously paid and (ii) 210,320 shares of common stock of the registrant issuable upon the exercise of 210,320 pre-funded warrants of the registrant held by certain selling stockholders for which a registration fee was previously paid.</w:t>
      </w:r>
    </w:p>
    <w:p>
      <w:pPr>
        <w:spacing w:after="0" w:line="1"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of the high and low prices of the shares of common stock of the registrant on The Nasdaq Capital Market on October 2, 2023 (such date being within five business days of the date that this registration statement was first filed with the U.S. Securities and Exchange Commission, in accordance with Rule 457(c) under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lowerRoman"/>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lowerLetter"/>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lowerRoman"/>
      <w:start w:val="2"/>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lowerRoman"/>
      <w:start w:val="2"/>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2"/>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8"/>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5"/>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5"/>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5"/>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lowerLetter"/>
      <w:start w:val="2"/>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lowerLetter"/>
      <w:start w:val="4"/>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lowerRoman"/>
      <w:start w:val="1"/>
    </w:lvl>
  </w:abstractNum>
  <w:abstractNum w:abstractNumId="70">
    <w:nsid w:val="6A5EE64"/>
    <w:multiLevelType w:val="hybridMultilevel"/>
    <w:lvl w:ilvl="0">
      <w:lvlJc w:val="left"/>
      <w:lvlText w:val="(%1)"/>
      <w:numFmt w:val="lowerRoman"/>
      <w:start w:val="1"/>
    </w:lvl>
  </w:abstractNum>
  <w:abstractNum w:abstractNumId="71">
    <w:nsid w:val="14330624"/>
    <w:multiLevelType w:val="hybridMultilevel"/>
    <w:lvl w:ilvl="0">
      <w:lvlJc w:val="left"/>
      <w:lvlText w:val="(%1)"/>
      <w:numFmt w:val="lowerRoman"/>
      <w:start w:val="2"/>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lowerRoman"/>
      <w:start w:val="2"/>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lowerRoman"/>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Letter"/>
      <w:start w:val="1"/>
    </w:lvl>
    <w:lvl w:ilvl="1">
      <w:lvlJc w:val="left"/>
      <w:lvlText w:val="(%2)"/>
      <w:numFmt w:val="decimal"/>
      <w:start w:val="1"/>
    </w:lvl>
  </w:abstractNum>
  <w:abstractNum w:abstractNumId="88">
    <w:nsid w:val="2DF6D648"/>
    <w:multiLevelType w:val="hybridMultilevel"/>
    <w:lvl w:ilvl="0">
      <w:lvlJc w:val="left"/>
      <w:lvlText w:val="(%1)"/>
      <w:numFmt w:val="lowerRoman"/>
      <w:start w:val="1"/>
    </w:lvl>
  </w:abstractNum>
  <w:abstractNum w:abstractNumId="89">
    <w:nsid w:val="46B7D447"/>
    <w:multiLevelType w:val="hybridMultilevel"/>
    <w:lvl w:ilvl="0">
      <w:lvlJc w:val="left"/>
      <w:lvlText w:val="(%1)"/>
      <w:numFmt w:val="decimal"/>
      <w:start w:val="2"/>
    </w:lvl>
  </w:abstractNum>
  <w:abstractNum w:abstractNumId="90">
    <w:nsid w:val="4A2AC315"/>
    <w:multiLevelType w:val="hybridMultilevel"/>
    <w:lvl w:ilvl="0">
      <w:lvlJc w:val="left"/>
      <w:lvlText w:val="(%1)"/>
      <w:numFmt w:val="decimal"/>
      <w:start w:val="5"/>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89"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jpeg"/><Relationship Id="rId307" Type="http://schemas.openxmlformats.org/officeDocument/2006/relationships/image" Target="media/image274.jpeg"/><Relationship Id="rId308" Type="http://schemas.openxmlformats.org/officeDocument/2006/relationships/image" Target="media/image275.jpeg"/><Relationship Id="rId195" Type="http://schemas.openxmlformats.org/officeDocument/2006/relationships/hyperlink" Target="http://www.sec.gov/Archives/edgar/data/1690585/000119312519125154/d728493ds1.htm" TargetMode="External"/><Relationship Id="rId275" Type="http://schemas.openxmlformats.org/officeDocument/2006/relationships/hyperlink" Target="http://www.sec.gov/Archives/edgar/data/1690585/000119312523133205/d503643dex21.htm" TargetMode="External"/><Relationship Id="rId276" Type="http://schemas.openxmlformats.org/officeDocument/2006/relationships/hyperlink" Target="http://www.sec.gov/Archives/edgar/data/1690585/000119312523233448/d550960dex31.htm" TargetMode="External"/><Relationship Id="rId277" Type="http://schemas.openxmlformats.org/officeDocument/2006/relationships/hyperlink" Target="http://www.sec.gov/Archives/edgar/data/1690585/000119312522303275/d434402dex31.htm" TargetMode="External"/><Relationship Id="rId278" Type="http://schemas.openxmlformats.org/officeDocument/2006/relationships/hyperlink" Target="http://www.sec.gov/Archives/edgar/data/1690585/000119312523233448/d550960dex41.htm" TargetMode="External"/><Relationship Id="rId279" Type="http://schemas.openxmlformats.org/officeDocument/2006/relationships/hyperlink" Target="http://www.sec.gov/Archives/edgar/data/1690585/000119312523233448/d550960dex42.htm" TargetMode="External"/><Relationship Id="rId280" Type="http://schemas.openxmlformats.org/officeDocument/2006/relationships/hyperlink" Target="http://www.sec.gov/Archives/edgar/data/1690585/000119312523233448/d550960dex101.htm" TargetMode="External"/><Relationship Id="rId281" Type="http://schemas.openxmlformats.org/officeDocument/2006/relationships/hyperlink" Target="http://www.sec.gov/Archives/edgar/data/1690585/000119312523133205/d503643dex103.htm" TargetMode="External"/><Relationship Id="rId282" Type="http://schemas.openxmlformats.org/officeDocument/2006/relationships/hyperlink" Target="http://www.sec.gov/Archives/edgar/data/1690585/000119312523233448/d550960dex102.htm" TargetMode="External"/><Relationship Id="rId283" Type="http://schemas.openxmlformats.org/officeDocument/2006/relationships/hyperlink" Target="http://www.sec.gov/Archives/edgar/data/1690585/000119312523233448/d550960dex103.htm" TargetMode="External"/><Relationship Id="rId284" Type="http://schemas.openxmlformats.org/officeDocument/2006/relationships/hyperlink" Target="http://www.sec.gov/Archives/edgar/data/1690585/000119312523233448/d550960dex104.htm" TargetMode="External"/><Relationship Id="rId285" Type="http://schemas.openxmlformats.org/officeDocument/2006/relationships/hyperlink" Target="http://www.sec.gov/Archives/edgar/data/1690585/000119312523250784/d539790dex992.htm" TargetMode="External"/><Relationship Id="rId286" Type="http://schemas.openxmlformats.org/officeDocument/2006/relationships/hyperlink" Target="http://www.sec.gov/Archives/edgar/data/1690585/000119312523172709/d483652dex1017.htm" TargetMode="External"/><Relationship Id="rId287" Type="http://schemas.openxmlformats.org/officeDocument/2006/relationships/hyperlink" Target="http://www.sec.gov/Archives/edgar/data/1690585/000119312523172709/d483652dex1018.htm" TargetMode="External"/><Relationship Id="rId288" Type="http://schemas.openxmlformats.org/officeDocument/2006/relationships/hyperlink" Target="http://www.sec.gov/Archives/edgar/data/1690585/000119312523172709/d483652dex1019.htm" TargetMode="External"/><Relationship Id="rId290" Type="http://schemas.openxmlformats.org/officeDocument/2006/relationships/hyperlink" Target="http://www.sec.gov/Archives/edgar/data/1690585/000119312523172709/d483652dex1013.htm" TargetMode="External"/><Relationship Id="rId291" Type="http://schemas.openxmlformats.org/officeDocument/2006/relationships/hyperlink" Target="http://www.sec.gov/Archives/edgar/data/1690585/000119312523233448/d550960dex105.htm" TargetMode="External"/><Relationship Id="rId292" Type="http://schemas.openxmlformats.org/officeDocument/2006/relationships/hyperlink" Target="http://www.sec.gov/Archives/edgar/data/1690585/000119312523172709/d483652dex1014.htm" TargetMode="External"/><Relationship Id="rId293" Type="http://schemas.openxmlformats.org/officeDocument/2006/relationships/hyperlink" Target="http://www.sec.gov/Archives/edgar/data/1690585/000119312523172709/d483652dex1015.htm" TargetMode="External"/><Relationship Id="rId294" Type="http://schemas.openxmlformats.org/officeDocument/2006/relationships/hyperlink" Target="http://www.sec.gov/Archives/edgar/data/1690585/000119312523233448/d550960dex106.htm" TargetMode="External"/><Relationship Id="rId295" Type="http://schemas.openxmlformats.org/officeDocument/2006/relationships/hyperlink" Target="http://www.sec.gov/Archives/edgar/data/1690585/000119312523172709/d483652dex1016.htm" TargetMode="External"/><Relationship Id="rId296" Type="http://schemas.openxmlformats.org/officeDocument/2006/relationships/hyperlink" Target="http://www.sec.gov/Archives/edgar/data/1690585/000095017023062070/dnth-ex10_12.htm" TargetMode="External"/><Relationship Id="rId297" Type="http://schemas.openxmlformats.org/officeDocument/2006/relationships/hyperlink" Target="http://www.sec.gov/Archives/edgar/data/1690585/000119312523187800/d483652dex1024.htm" TargetMode="External"/><Relationship Id="rId298" Type="http://schemas.openxmlformats.org/officeDocument/2006/relationships/hyperlink" Target="http://www.sec.gov/Archives/edgar/data/1690585/000119312523187800/d483652dex1025.htm" TargetMode="External"/><Relationship Id="rId299" Type="http://schemas.openxmlformats.org/officeDocument/2006/relationships/hyperlink" Target="http://www.sec.gov/Archives/edgar/data/1690585/000119312523233448/d550960dex161.htm" TargetMode="External"/><Relationship Id="rId300" Type="http://schemas.openxmlformats.org/officeDocument/2006/relationships/hyperlink" Target="http://www.sec.gov/Archives/edgar/data/1690585/000119312523250742/d541066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2023-12-21T16:17:31Z</dcterms:created>
  <dcterms:modified xsi:type="dcterms:W3CDTF">2023-12-21T16:17:31Z</dcterms:modified>
</cp:coreProperties>
</file>