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Veness Adam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 and Sec.</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110.61</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111.18</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110.38</w:t>
            </w:r>
            <w:r>
              <w:rPr>
                <w:rFonts w:ascii="Times;serif" w:hAnsi="Times;serif"/>
                <w:color w:val="008000"/>
                <w:position w:val="7"/>
                <w:sz w:val="16"/>
                <w:sz w:val="20"/>
                <w:shd w:fill="FFFFFF" w:val="clear"/>
              </w:rPr>
              <w:t>(4)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17.88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76,167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March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$110.07 to $111.06,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$111.08 to $111.45,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$110.00 to $110.88,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of common stock underlying this stock option award vest in equal monthly installments over the four years after January 1, 2024,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623"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4711</Characters>
  <CharactersWithSpaces>5474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