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693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69366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Randhawa Simrat</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Dianthus Therapeutics,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DNTH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DIANTHUS THERAPEUTICS, INC.</w:t>
            </w:r>
          </w:p>
        </w:tc>
        <w:tc>
          <w:tcPr>
            <w:tcW w:w="29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 TIMES SQUARE, 43RD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917"/>
        <w:spacing w:after="0"/>
        <w:rPr>
          <w:sz w:val="20"/>
          <w:szCs w:val="20"/>
          <w:color w:val="auto"/>
        </w:rPr>
      </w:pPr>
      <w:r>
        <w:rPr>
          <w:rFonts w:ascii="Times New Roman" w:cs="Times New Roman" w:eastAsia="Times New Roman" w:hAnsi="Times New Roman"/>
          <w:sz w:val="17"/>
          <w:szCs w:val="17"/>
          <w:color w:val="0000FF"/>
        </w:rPr>
        <w:t>EVP, Head of R&amp;D</w:t>
      </w:r>
    </w:p>
    <w:p>
      <w:pPr>
        <w:spacing w:after="0" w:line="400" w:lineRule="exact"/>
        <w:rPr>
          <w:sz w:val="20"/>
          <w:szCs w:val="20"/>
          <w:color w:val="auto"/>
        </w:rPr>
      </w:pPr>
    </w:p>
    <w:p>
      <w:pPr>
        <w:sectPr>
          <w:pgSz w:w="11900" w:h="16838" w:orient="portrait"/>
          <w:cols w:equalWidth="0" w:num="2">
            <w:col w:w="7680" w:space="63"/>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10036</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jc w:val="center"/>
              <w:ind w:left="487"/>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487"/>
              <w:spacing w:after="0"/>
              <w:rPr>
                <w:sz w:val="20"/>
                <w:szCs w:val="20"/>
                <w:color w:val="auto"/>
              </w:rPr>
            </w:pPr>
            <w:r>
              <w:rPr>
                <w:rFonts w:ascii="Times New Roman" w:cs="Times New Roman" w:eastAsia="Times New Roman" w:hAnsi="Times New Roman"/>
                <w:sz w:val="17"/>
                <w:szCs w:val="17"/>
                <w:color w:val="0000FF"/>
              </w:rPr>
              <w:t>06/01/2026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9"/>
              </w:rPr>
              <w:t>3,998</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7,998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487"/>
              <w:spacing w:after="0"/>
              <w:rPr>
                <w:sz w:val="20"/>
                <w:szCs w:val="20"/>
                <w:color w:val="auto"/>
              </w:rPr>
            </w:pPr>
            <w:r>
              <w:rPr>
                <w:rFonts w:ascii="Times New Roman" w:cs="Times New Roman" w:eastAsia="Times New Roman" w:hAnsi="Times New Roman"/>
                <w:sz w:val="17"/>
                <w:szCs w:val="17"/>
                <w:color w:val="0000FF"/>
              </w:rPr>
              <w:t>06/01/2026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9"/>
              </w:rPr>
              <w:t>6,908</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17.88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14,906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487"/>
              <w:spacing w:after="0"/>
              <w:rPr>
                <w:sz w:val="20"/>
                <w:szCs w:val="20"/>
                <w:color w:val="auto"/>
              </w:rPr>
            </w:pPr>
            <w:r>
              <w:rPr>
                <w:rFonts w:ascii="Times New Roman" w:cs="Times New Roman" w:eastAsia="Times New Roman" w:hAnsi="Times New Roman"/>
                <w:sz w:val="17"/>
                <w:szCs w:val="17"/>
                <w:color w:val="0000FF"/>
              </w:rPr>
              <w:t>06/01/2026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9"/>
              </w:rPr>
              <w:t>6,249</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21,155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487"/>
              <w:spacing w:after="0"/>
              <w:rPr>
                <w:sz w:val="20"/>
                <w:szCs w:val="20"/>
                <w:color w:val="auto"/>
              </w:rPr>
            </w:pPr>
            <w:r>
              <w:rPr>
                <w:rFonts w:ascii="Times New Roman" w:cs="Times New Roman" w:eastAsia="Times New Roman" w:hAnsi="Times New Roman"/>
                <w:sz w:val="17"/>
                <w:szCs w:val="17"/>
                <w:color w:val="0000FF"/>
              </w:rPr>
              <w:t>06/01/2026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9"/>
              </w:rPr>
              <w:t>9,375</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22.07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30,530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487"/>
              <w:spacing w:after="0"/>
              <w:rPr>
                <w:sz w:val="20"/>
                <w:szCs w:val="20"/>
                <w:color w:val="auto"/>
              </w:rPr>
            </w:pPr>
            <w:r>
              <w:rPr>
                <w:rFonts w:ascii="Times New Roman" w:cs="Times New Roman" w:eastAsia="Times New Roman" w:hAnsi="Times New Roman"/>
                <w:sz w:val="17"/>
                <w:szCs w:val="17"/>
                <w:color w:val="0000FF"/>
              </w:rPr>
              <w:t>06/01/2026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9"/>
              </w:rPr>
              <w:t>5,428</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89.72</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25,102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487"/>
              <w:spacing w:after="0"/>
              <w:rPr>
                <w:sz w:val="20"/>
                <w:szCs w:val="20"/>
                <w:color w:val="auto"/>
              </w:rPr>
            </w:pPr>
            <w:r>
              <w:rPr>
                <w:rFonts w:ascii="Times New Roman" w:cs="Times New Roman" w:eastAsia="Times New Roman" w:hAnsi="Times New Roman"/>
                <w:sz w:val="17"/>
                <w:szCs w:val="17"/>
                <w:color w:val="0000FF"/>
              </w:rPr>
              <w:t>06/01/2026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8"/>
              </w:rPr>
              <w:t>16,943</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90.72</w:t>
            </w:r>
            <w:r>
              <w:rPr>
                <w:rFonts w:ascii="Times New Roman" w:cs="Times New Roman" w:eastAsia="Times New Roman" w:hAnsi="Times New Roman"/>
                <w:sz w:val="21"/>
                <w:szCs w:val="21"/>
                <w:color w:val="008000"/>
                <w:w w:val="99"/>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8,159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487"/>
              <w:spacing w:after="0"/>
              <w:rPr>
                <w:sz w:val="20"/>
                <w:szCs w:val="20"/>
                <w:color w:val="auto"/>
              </w:rPr>
            </w:pPr>
            <w:r>
              <w:rPr>
                <w:rFonts w:ascii="Times New Roman" w:cs="Times New Roman" w:eastAsia="Times New Roman" w:hAnsi="Times New Roman"/>
                <w:sz w:val="17"/>
                <w:szCs w:val="17"/>
                <w:color w:val="0000FF"/>
              </w:rPr>
              <w:t>06/01/2026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9"/>
              </w:rPr>
              <w:t>4,159</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91.37</w:t>
            </w:r>
            <w:r>
              <w:rPr>
                <w:rFonts w:ascii="Times New Roman" w:cs="Times New Roman" w:eastAsia="Times New Roman" w:hAnsi="Times New Roman"/>
                <w:sz w:val="21"/>
                <w:szCs w:val="21"/>
                <w:color w:val="008000"/>
                <w:w w:val="99"/>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2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8.44</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3,998</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06/06/2032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3,998</w:t>
            </w:r>
          </w:p>
        </w:tc>
        <w:tc>
          <w:tcPr>
            <w:tcW w:w="180" w:type="dxa"/>
            <w:vAlign w:val="bottom"/>
          </w:tcPr>
          <w:p>
            <w:pPr>
              <w:spacing w:after="0"/>
              <w:rPr>
                <w:sz w:val="16"/>
                <w:szCs w:val="16"/>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17.88</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6,908</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01/23/2034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6,908</w:t>
            </w:r>
          </w:p>
        </w:tc>
        <w:tc>
          <w:tcPr>
            <w:tcW w:w="180" w:type="dxa"/>
            <w:vAlign w:val="bottom"/>
          </w:tcPr>
          <w:p>
            <w:pPr>
              <w:spacing w:after="0"/>
              <w:rPr>
                <w:sz w:val="16"/>
                <w:szCs w:val="16"/>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64,276</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21.77</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6,249</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05/22/2034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6,249</w:t>
            </w:r>
          </w:p>
        </w:tc>
        <w:tc>
          <w:tcPr>
            <w:tcW w:w="180" w:type="dxa"/>
            <w:vAlign w:val="bottom"/>
          </w:tcPr>
          <w:p>
            <w:pPr>
              <w:spacing w:after="0"/>
              <w:rPr>
                <w:sz w:val="16"/>
                <w:szCs w:val="16"/>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47,925</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22.07</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9,375</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02/03/2035</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9,375</w:t>
            </w:r>
          </w:p>
        </w:tc>
        <w:tc>
          <w:tcPr>
            <w:tcW w:w="180" w:type="dxa"/>
            <w:vAlign w:val="bottom"/>
          </w:tcPr>
          <w:p>
            <w:pPr>
              <w:spacing w:after="0"/>
              <w:rPr>
                <w:sz w:val="16"/>
                <w:szCs w:val="16"/>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96,875</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on August 14, 2025.</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$89.17 to $90.16, inclusive. The Reporting Person undertakes to provide to the Issuer, any security holder of the Issuer, or the staff of the SEC,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$90.17 to $91.15, inclusive. The Reporting Person undertakes to provide to the Issuer, any security holder of the Issuer, or the staff of the SEC,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$91.17 to $91.96, inclusive. The Reporting Person undertakes to provide to the Issuer, any security holder of the Issuer, or the staff of the SEC, upon request, full information regarding the number of shares sold at each separate price within the range.</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20"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underlying this stock option award vested as to 25% of the shares on April 25, 2023, with the remaining three quarters vesting in equal monthly installments over the following three years, subject to the Reporting Person's continued service to the Issuer on each such vesting date.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underlying this stock option award vest in equal monthly installments over the four years after January 1, 2024, subject to the Reporting Person's continued service to the Issuer on each such vesting date.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underlying this stock option award vest in equal monthly installments over the four years after May 1, 2024, subject to the Reporting Person's continued service to the Issuer on each such vesting date.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underlying this stock option award vest in equal monthly installments over the four years after January 1, 2025, subject to the Reporting Person's continued service to the Issuer on each such vesting date.</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Adam Veness,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4"/>
        </w:trPr>
        <w:tc>
          <w:tcPr>
            <w:tcW w:w="200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in-fact for Simrat Randhawa</w:t>
            </w: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gridSpan w:val="2"/>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00" w:firstLine="3"/>
        <w:spacing w:after="0" w:line="338"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2260" TargetMode="External"/><Relationship Id="rId14" Type="http://schemas.openxmlformats.org/officeDocument/2006/relationships/hyperlink" Target="http://www.sec.gov/cgi-bin/browse-edgar?action=getcompany&amp;CIK=000169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2026-06-02T18:02:27Z</dcterms:created>
  <dcterms:modified xsi:type="dcterms:W3CDTF">2026-06-02T18:02:27Z</dcterms:modified>
</cp:coreProperties>
</file>