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Read Simon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DIANTHUS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 TIMES SQUARE, 43RD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Dianthus Therapeutics, Inc. /DE/</w:t>
              </w:r>
            </w:hyperlink>
            <w:r>
              <w:rPr/>
              <w:t xml:space="preserve"> [ </w:t>
            </w:r>
            <w:r>
              <w:rPr>
                <w:rFonts w:ascii="Times;serif" w:hAnsi="Times;serif"/>
                <w:color w:val="0000FF"/>
                <w:sz w:val="24"/>
                <w:shd w:fill="FFFFFF" w:val="clear"/>
              </w:rPr>
              <w:t>DNTH</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2,778</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117.55</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2,778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05/22/2035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on May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is a weighted average price. The shares were sold in multiple transactions at prices ranging from $117.01 to $117.66,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of common stock underlying this stock option award vest as to one-third of the shares subject to the option on each of the first, second and third anniversaries of the date of grant,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Veness, as attorney-in-fact for Simon Read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88199" TargetMode="External"/><Relationship Id="rId5" Type="http://schemas.openxmlformats.org/officeDocument/2006/relationships/hyperlink" Target="http://www.sec.gov/cgi-bin/browse-edgar?action=getcompany&amp;CIK=00016905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3874</Characters>
  <CharactersWithSpaces>4513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