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Dianthus Therapeutics, Inc. /DE/</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Sirenia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1,696,751.00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1,696,751.00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1,696,751.00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510,400 shares of Common Stock (as defined in Item 2(a)) issuable upon exercise of call options.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Alex Silverstein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1,696,751.00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1,696,751.00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1,696,751.00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510,400 shares of Common Stock issuable upon exercise of call options.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7"/>
        <w:gridCol w:w="8903"/>
        <w:gridCol w:w="155"/>
      </w:tblGrid>
      <w:tr>
        <w:trPr/>
        <w:tc>
          <w:tcPr>
            <w:tcW w:w="1147" w:type="dxa"/>
            <w:tcBorders/>
            <w:vAlign w:val="center"/>
          </w:tcPr>
          <w:p>
            <w:pPr>
              <w:pStyle w:val="TableContents"/>
              <w:bidi w:val="0"/>
              <w:spacing w:before="0" w:after="283"/>
              <w:jc w:val="left"/>
              <w:rPr/>
            </w:pPr>
            <w:r>
              <w:rPr/>
              <w:t>Item 1.</w:t>
            </w:r>
          </w:p>
        </w:tc>
        <w:tc>
          <w:tcPr>
            <w:tcW w:w="890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Name of issuer: </w:t>
            </w:r>
          </w:p>
          <w:p>
            <w:pPr>
              <w:pStyle w:val="TableContents"/>
              <w:bidi w:val="0"/>
              <w:spacing w:before="0" w:after="0"/>
              <w:jc w:val="left"/>
              <w:rPr/>
            </w:pPr>
            <w:r>
              <w:rPr/>
              <w:t>Dianthus Therapeutics, Inc. /DE/</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 Times Square, 43rd Floor, New York, New York 10036</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2.</w:t>
            </w:r>
          </w:p>
        </w:tc>
        <w:tc>
          <w:tcPr>
            <w:tcW w:w="890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Sirenia Capital Management LP ("Sirenia") with respect to the common stock, par value $0.001 per share ("Common Stock"), of Dianthus Therapeutics, Inc. (the "Issuer") held by (and underlying options held by) investment funds it manages (the "Sirenia Funds") and a managed account it manages (the "Sirenia Account"); and (ii) Alex Silverstein ("Mr. Silverstein"), the managing member of Sirenia Capital Management GP LLC, the general partner of Sirenia, with respect to the Common Stock held by (and underlying options held by) the Sirenia Funds and the Sirenia Account. The foregoing persons are hereinafter sometimes collectively referred to as the "Reporting Persons." The filing of this statement should not be construed as an admission that any of the foregoing persons or any Reporting Person is, for the purposes of Section 13 of the Securities Exchange Act of 1934, the beneficial owner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Sirenia and Mr. Silverstein is 1674 Meridian Avenue, Suite 320, Miami Beach, FL 33139.</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jc w:val="left"/>
              <w:rPr/>
            </w:pPr>
            <w:r>
              <w:rPr/>
              <w:t xml:space="preserve">Citizenship: </w:t>
            </w:r>
          </w:p>
          <w:p>
            <w:pPr>
              <w:pStyle w:val="TableContents"/>
              <w:bidi w:val="0"/>
              <w:spacing w:before="0" w:after="0"/>
              <w:jc w:val="left"/>
              <w:rPr/>
            </w:pPr>
            <w:r>
              <w:rPr/>
              <w:t>Sirenia is a Delaware limited partnership. Mr. Silverstein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(d)</w:t>
            </w:r>
          </w:p>
        </w:tc>
        <w:tc>
          <w:tcPr>
            <w:tcW w:w="890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(e)</w:t>
            </w:r>
          </w:p>
        </w:tc>
        <w:tc>
          <w:tcPr>
            <w:tcW w:w="890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3.</w:t>
            </w:r>
          </w:p>
        </w:tc>
        <w:tc>
          <w:tcPr>
            <w:tcW w:w="890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(d)</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(e)</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(f)</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(g)</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(h)</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(j)</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(k)</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9058" w:type="dxa"/>
            <w:gridSpan w:val="2"/>
            <w:tcBorders/>
            <w:vAlign w:val="center"/>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4.</w:t>
            </w:r>
          </w:p>
        </w:tc>
        <w:tc>
          <w:tcPr>
            <w:tcW w:w="890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in this Schedule 13G is calculated based upon an aggregate of 54,666,233 shares of Common Stock outstanding as of May 1, 2026, as reported in the Issuer's Quarterly Report on Form 10-Q for the quarterly period of March 31, 2026, filed with the Securities and Exchange Commission on May 5, 2026.</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3.1%  %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5.</w:t>
            </w:r>
          </w:p>
        </w:tc>
        <w:tc>
          <w:tcPr>
            <w:tcW w:w="890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6.</w:t>
            </w:r>
          </w:p>
        </w:tc>
        <w:tc>
          <w:tcPr>
            <w:tcW w:w="890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7.</w:t>
            </w:r>
          </w:p>
        </w:tc>
        <w:tc>
          <w:tcPr>
            <w:tcW w:w="890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Item 2(a) and Item 3.</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8.</w:t>
            </w:r>
          </w:p>
        </w:tc>
        <w:tc>
          <w:tcPr>
            <w:tcW w:w="890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9.</w:t>
            </w:r>
          </w:p>
        </w:tc>
        <w:tc>
          <w:tcPr>
            <w:tcW w:w="890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36" w:type="dxa"/>
        <w:jc w:val="left"/>
        <w:tblInd w:w="0" w:type="dxa"/>
        <w:tblLayout w:type="fixed"/>
        <w:tblCellMar>
          <w:top w:w="28" w:type="dxa"/>
          <w:left w:w="28" w:type="dxa"/>
          <w:bottom w:w="28" w:type="dxa"/>
          <w:right w:w="28" w:type="dxa"/>
        </w:tblCellMar>
      </w:tblPr>
      <w:tblGrid>
        <w:gridCol w:w="3318"/>
        <w:gridCol w:w="3318"/>
      </w:tblGrid>
      <w:tr>
        <w:trPr/>
        <w:tc>
          <w:tcPr>
            <w:tcW w:w="3318" w:type="dxa"/>
            <w:tcBorders/>
            <w:vAlign w:val="center"/>
          </w:tcPr>
          <w:p>
            <w:pPr>
              <w:pStyle w:val="TableContents"/>
              <w:bidi w:val="0"/>
              <w:spacing w:before="0" w:after="0"/>
              <w:jc w:val="left"/>
              <w:rPr/>
            </w:pPr>
            <w:r>
              <w:rPr/>
              <w:t> </w:t>
            </w:r>
          </w:p>
          <w:tbl>
            <w:tblPr>
              <w:tblW w:w="3196" w:type="dxa"/>
              <w:jc w:val="left"/>
              <w:tblInd w:w="0" w:type="dxa"/>
              <w:tblLayout w:type="fixed"/>
              <w:tblCellMar>
                <w:top w:w="28" w:type="dxa"/>
                <w:left w:w="28" w:type="dxa"/>
                <w:bottom w:w="28" w:type="dxa"/>
                <w:right w:w="28" w:type="dxa"/>
              </w:tblCellMar>
            </w:tblPr>
            <w:tblGrid>
              <w:gridCol w:w="3196"/>
            </w:tblGrid>
            <w:tr>
              <w:trPr/>
              <w:tc>
                <w:tcPr>
                  <w:tcW w:w="3196" w:type="dxa"/>
                  <w:tcBorders/>
                  <w:vAlign w:val="center"/>
                </w:tcPr>
                <w:p>
                  <w:pPr>
                    <w:pStyle w:val="TableContents"/>
                    <w:bidi w:val="0"/>
                    <w:spacing w:before="0" w:after="0"/>
                    <w:jc w:val="left"/>
                    <w:rPr/>
                  </w:pPr>
                  <w:r>
                    <w:rPr/>
                    <w:t>Sirenia Capital Management LP</w:t>
                  </w:r>
                </w:p>
              </w:tc>
            </w:tr>
          </w:tbl>
          <w:p>
            <w:pPr>
              <w:pStyle w:val="TableContents"/>
              <w:bidi w:val="0"/>
              <w:spacing w:before="0" w:after="283"/>
              <w:jc w:val="left"/>
              <w:rPr/>
            </w:pPr>
            <w:r>
              <w:rPr/>
            </w:r>
          </w:p>
        </w:tc>
        <w:tc>
          <w:tcPr>
            <w:tcW w:w="33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Kolby Loft</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Kolby Loft, General Counsel &amp; Chief Compliance Officer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6"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Alex Silverstein</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7"/>
        <w:gridCol w:w="4298"/>
      </w:tblGrid>
      <w:tr>
        <w:trPr/>
        <w:tc>
          <w:tcPr>
            <w:tcW w:w="59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Alex Silverstein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Alex Silverstein, individually</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9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1439</Words>
  <Characters>7332</Characters>
  <CharactersWithSpaces>8744</CharactersWithSpaces>
  <Paragraphs>212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