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DIANTHUS THERAPEUTICS,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001-38541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81-0724163</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7 Times Square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43rd Floor</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929 999-4055</w:t>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1040" w:hanging="466"/>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8" w:lineRule="exact"/>
        <w:rPr>
          <w:rFonts w:ascii="MS PGothic" w:cs="MS PGothic" w:eastAsia="MS PGothic" w:hAnsi="MS PGothic"/>
          <w:sz w:val="16"/>
          <w:szCs w:val="16"/>
          <w:color w:val="auto"/>
        </w:rPr>
      </w:pPr>
    </w:p>
    <w:p>
      <w:pPr>
        <w:ind w:left="1040" w:hanging="466"/>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8" w:lineRule="exact"/>
        <w:rPr>
          <w:rFonts w:ascii="MS PGothic" w:cs="MS PGothic" w:eastAsia="MS PGothic" w:hAnsi="MS PGothic"/>
          <w:sz w:val="16"/>
          <w:szCs w:val="16"/>
          <w:color w:val="auto"/>
        </w:rPr>
      </w:pPr>
    </w:p>
    <w:p>
      <w:pPr>
        <w:ind w:left="1040" w:hanging="466"/>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8" w:lineRule="exact"/>
        <w:rPr>
          <w:rFonts w:ascii="MS PGothic" w:cs="MS PGothic" w:eastAsia="MS PGothic" w:hAnsi="MS PGothic"/>
          <w:sz w:val="16"/>
          <w:szCs w:val="16"/>
          <w:color w:val="auto"/>
        </w:rPr>
      </w:pPr>
    </w:p>
    <w:p>
      <w:pPr>
        <w:ind w:left="1040" w:hanging="466"/>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6"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 $0.001 Par Value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DNTH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67"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775970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79" w:right="31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Beginning on June 6, 2024, spokespersons of Dianthus Therapeutics, Inc. (the “Company”) plan to present information contained in an updated corporate presentation (the "Presentation") at various meetings with investors and analysts. Marino Garcia, the Company's President and Chief Executive Officer, will also present the information in the Presentation at the Jefferies Global Healthcare Conference on June 6, 2024.</w:t>
      </w:r>
    </w:p>
    <w:p>
      <w:pPr>
        <w:spacing w:after="0" w:line="15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i w:val="1"/>
          <w:iCs w:val="1"/>
          <w:color w:val="auto"/>
        </w:rPr>
        <w:t>Cautionary Note Regarding Forward-Looking Statements. The Presentation contains forward-looking statements that involve certain risks and uncertainties that could cause actual results to differ materially from those expressed or implied by these statements. Please refer to the cautionary notes in the Presentation regarding these forward-looking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0" w:type="dxa"/>
            <w:vAlign w:val="bottom"/>
          </w:tcPr>
          <w:p>
            <w:pPr>
              <w:spacing w:after="0"/>
              <w:rPr>
                <w:sz w:val="16"/>
                <w:szCs w:val="16"/>
                <w:color w:val="auto"/>
              </w:rPr>
            </w:pPr>
          </w:p>
        </w:tc>
      </w:tr>
      <w:tr>
        <w:trPr>
          <w:trHeight w:val="214"/>
        </w:trPr>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352"/>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Investor Presentation of Dianthus Therapeutics, Inc., dated June 2024</w:t>
            </w:r>
          </w:p>
        </w:tc>
        <w:tc>
          <w:tcPr>
            <w:tcW w:w="26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Borders>
              <w:right w:val="single" w:sz="8" w:color="0000EE"/>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7"/>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600" w:type="dxa"/>
            <w:vAlign w:val="bottom"/>
          </w:tcPr>
          <w:p>
            <w:pPr>
              <w:spacing w:after="0"/>
              <w:rPr>
                <w:sz w:val="18"/>
                <w:szCs w:val="18"/>
                <w:color w:val="auto"/>
              </w:rPr>
            </w:pPr>
          </w:p>
        </w:tc>
      </w:tr>
      <w:tr>
        <w:trPr>
          <w:trHeight w:val="1056"/>
        </w:trPr>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1"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DIANTHUS THERAPEUTICS, INC.</w:t>
      </w:r>
    </w:p>
    <w:p>
      <w:pPr>
        <w:spacing w:after="0" w:line="350"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Adam M. Veness, Esq.</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748665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067"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2024-06-06T07:05:16Z</dcterms:created>
  <dcterms:modified xsi:type="dcterms:W3CDTF">2024-06-06T07:05:16Z</dcterms:modified>
</cp:coreProperties>
</file>