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DIANTHUS THERAPEUTICS, INC.</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0" w:type="dxa"/>
        <w:tblCellMar>
          <w:top w:w="0" w:type="dxa"/>
          <w:left w:w="0" w:type="dxa"/>
          <w:bottom w:w="0" w:type="dxa"/>
          <w:right w:w="0" w:type="dxa"/>
        </w:tblCellMar>
      </w:tblPr>
      <w:tr>
        <w:trPr>
          <w:trHeight w:val="19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001-38541</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81-0724163</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9"/>
              </w:rPr>
              <w:t>7 Times Square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43rd Floor</w:t>
            </w: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10036</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929) 999-4055</w:t>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rFonts w:ascii="MS PGothic" w:cs="MS PGothic" w:eastAsia="MS PGothic" w:hAnsi="MS PGothic"/>
          <w:sz w:val="16"/>
          <w:szCs w:val="16"/>
          <w:color w:val="auto"/>
        </w:rPr>
      </w:pPr>
    </w:p>
    <w:p>
      <w:pPr>
        <w:ind w:left="37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$0.001 Par Value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DNTH</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Capital Market</w:t>
            </w:r>
          </w:p>
        </w:tc>
      </w:tr>
    </w:tbl>
    <w:p>
      <w:pPr>
        <w:spacing w:after="0" w:line="155"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0"/>
          </w:cols>
          <w:pgMar w:left="320" w:top="1079" w:right="319" w:bottom="1440" w:gutter="0" w:footer="0" w:header="0"/>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 with Nanjing Leads Biolabs Co. Ltd.</w:t>
      </w:r>
    </w:p>
    <w:p>
      <w:pPr>
        <w:spacing w:after="0" w:line="28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5"/>
          <w:szCs w:val="15"/>
          <w:color w:val="212529"/>
        </w:rPr>
        <w:t xml:space="preserve">On October 16, 2025, </w:t>
      </w:r>
      <w:r>
        <w:rPr>
          <w:rFonts w:ascii="Times New Roman" w:cs="Times New Roman" w:eastAsia="Times New Roman" w:hAnsi="Times New Roman"/>
          <w:sz w:val="15"/>
          <w:szCs w:val="15"/>
          <w:color w:val="000000"/>
        </w:rPr>
        <w:t>Dianthus Therapeutics, Inc. (“</w:t>
      </w:r>
      <w:r>
        <w:rPr>
          <w:rFonts w:ascii="Times New Roman" w:cs="Times New Roman" w:eastAsia="Times New Roman" w:hAnsi="Times New Roman"/>
          <w:sz w:val="15"/>
          <w:szCs w:val="15"/>
          <w:b w:val="1"/>
          <w:bCs w:val="1"/>
          <w:i w:val="1"/>
          <w:iCs w:val="1"/>
          <w:color w:val="000000"/>
        </w:rPr>
        <w:t>Dianthus</w:t>
      </w:r>
      <w:r>
        <w:rPr>
          <w:rFonts w:ascii="Times New Roman" w:cs="Times New Roman" w:eastAsia="Times New Roman" w:hAnsi="Times New Roman"/>
          <w:sz w:val="15"/>
          <w:szCs w:val="15"/>
          <w:color w:val="000000"/>
        </w:rPr>
        <w:t>” or the “</w:t>
      </w:r>
      <w:r>
        <w:rPr>
          <w:rFonts w:ascii="Times New Roman" w:cs="Times New Roman" w:eastAsia="Times New Roman" w:hAnsi="Times New Roman"/>
          <w:sz w:val="15"/>
          <w:szCs w:val="15"/>
          <w:b w:val="1"/>
          <w:bCs w:val="1"/>
          <w:i w:val="1"/>
          <w:iCs w:val="1"/>
          <w:color w:val="000000"/>
        </w:rPr>
        <w:t>Company</w:t>
      </w:r>
      <w:r>
        <w:rPr>
          <w:rFonts w:ascii="Times New Roman" w:cs="Times New Roman" w:eastAsia="Times New Roman" w:hAnsi="Times New Roman"/>
          <w:sz w:val="15"/>
          <w:szCs w:val="15"/>
          <w:color w:val="000000"/>
        </w:rPr>
        <w:t>”) entered into a License and Collaboration Agreement (the “</w:t>
      </w:r>
      <w:r>
        <w:rPr>
          <w:rFonts w:ascii="Times New Roman" w:cs="Times New Roman" w:eastAsia="Times New Roman" w:hAnsi="Times New Roman"/>
          <w:sz w:val="15"/>
          <w:szCs w:val="15"/>
          <w:b w:val="1"/>
          <w:bCs w:val="1"/>
          <w:i w:val="1"/>
          <w:iCs w:val="1"/>
          <w:color w:val="000000"/>
        </w:rPr>
        <w:t>License Agreement</w:t>
      </w:r>
      <w:r>
        <w:rPr>
          <w:rFonts w:ascii="Times New Roman" w:cs="Times New Roman" w:eastAsia="Times New Roman" w:hAnsi="Times New Roman"/>
          <w:sz w:val="15"/>
          <w:szCs w:val="15"/>
          <w:color w:val="000000"/>
        </w:rPr>
        <w:t>”) with Nanjing</w:t>
      </w:r>
      <w:r>
        <w:rPr>
          <w:rFonts w:ascii="Times New Roman" w:cs="Times New Roman" w:eastAsia="Times New Roman" w:hAnsi="Times New Roman"/>
          <w:sz w:val="15"/>
          <w:szCs w:val="15"/>
          <w:color w:val="212529"/>
        </w:rPr>
        <w:t xml:space="preserve"> </w:t>
      </w:r>
      <w:r>
        <w:rPr>
          <w:rFonts w:ascii="Times New Roman" w:cs="Times New Roman" w:eastAsia="Times New Roman" w:hAnsi="Times New Roman"/>
          <w:sz w:val="15"/>
          <w:szCs w:val="15"/>
          <w:color w:val="000000"/>
        </w:rPr>
        <w:t>Leads Biolabs Co. Ltd. (“</w:t>
      </w:r>
      <w:r>
        <w:rPr>
          <w:rFonts w:ascii="Times New Roman" w:cs="Times New Roman" w:eastAsia="Times New Roman" w:hAnsi="Times New Roman"/>
          <w:sz w:val="15"/>
          <w:szCs w:val="15"/>
          <w:b w:val="1"/>
          <w:bCs w:val="1"/>
          <w:i w:val="1"/>
          <w:iCs w:val="1"/>
          <w:color w:val="000000"/>
        </w:rPr>
        <w:t>Leads</w:t>
      </w:r>
      <w:r>
        <w:rPr>
          <w:rFonts w:ascii="Times New Roman" w:cs="Times New Roman" w:eastAsia="Times New Roman" w:hAnsi="Times New Roman"/>
          <w:sz w:val="15"/>
          <w:szCs w:val="15"/>
          <w:color w:val="000000"/>
        </w:rPr>
        <w:t xml:space="preserve">”), pursuant to which Leads granted the Company a </w:t>
      </w:r>
      <w:r>
        <w:rPr>
          <w:rFonts w:ascii="Times New Roman" w:cs="Times New Roman" w:eastAsia="Times New Roman" w:hAnsi="Times New Roman"/>
          <w:sz w:val="15"/>
          <w:szCs w:val="15"/>
          <w:color w:val="212529"/>
        </w:rPr>
        <w:t>royalty-bearing, exclusive license outside of Greater China to develop, manufacture,</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212529"/>
        </w:rPr>
        <w:t xml:space="preserve">commercialize or otherwise exploit </w:t>
      </w:r>
      <w:r>
        <w:rPr>
          <w:rFonts w:ascii="Times New Roman" w:cs="Times New Roman" w:eastAsia="Times New Roman" w:hAnsi="Times New Roman"/>
          <w:sz w:val="15"/>
          <w:szCs w:val="15"/>
          <w:color w:val="000000"/>
        </w:rPr>
        <w:t>LBL-047, referred to as DNTH212 by the Company</w:t>
      </w:r>
      <w:r>
        <w:rPr>
          <w:rFonts w:ascii="Times New Roman" w:cs="Times New Roman" w:eastAsia="Times New Roman" w:hAnsi="Times New Roman"/>
          <w:sz w:val="15"/>
          <w:szCs w:val="15"/>
          <w:color w:val="212529"/>
        </w:rPr>
        <w:t xml:space="preserve">. </w:t>
      </w:r>
      <w:r>
        <w:rPr>
          <w:rFonts w:ascii="Times New Roman" w:cs="Times New Roman" w:eastAsia="Times New Roman" w:hAnsi="Times New Roman"/>
          <w:sz w:val="15"/>
          <w:szCs w:val="15"/>
          <w:color w:val="000000"/>
        </w:rPr>
        <w:t>Dianthus also obtained certain non-exclusive rights to perform development and</w:t>
      </w:r>
      <w:r>
        <w:rPr>
          <w:rFonts w:ascii="Times New Roman" w:cs="Times New Roman" w:eastAsia="Times New Roman" w:hAnsi="Times New Roman"/>
          <w:sz w:val="15"/>
          <w:szCs w:val="15"/>
          <w:color w:val="212529"/>
        </w:rPr>
        <w:t xml:space="preserve"> </w:t>
      </w:r>
      <w:r>
        <w:rPr>
          <w:rFonts w:ascii="Times New Roman" w:cs="Times New Roman" w:eastAsia="Times New Roman" w:hAnsi="Times New Roman"/>
          <w:sz w:val="15"/>
          <w:szCs w:val="15"/>
          <w:color w:val="000000"/>
        </w:rPr>
        <w:t xml:space="preserve">manufacturing activities in Greater China to support DNTH212 outside of Greater China. </w:t>
      </w:r>
      <w:r>
        <w:rPr>
          <w:rFonts w:ascii="Times New Roman" w:cs="Times New Roman" w:eastAsia="Times New Roman" w:hAnsi="Times New Roman"/>
          <w:sz w:val="15"/>
          <w:szCs w:val="15"/>
          <w:color w:val="212529"/>
        </w:rPr>
        <w:t>DNTH212 is an investigational, extended half-life bifunctional fusion protein targeting</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212529"/>
        </w:rPr>
        <w:t>plasmacytoid dendritic cell (pDC) BDCA2 to reduce Type 1 interferon production, while simultaneously inhibiting BAFF/APRIL to suppress B cell function.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212529"/>
        </w:rPr>
        <w:t>Consideration</w:t>
      </w:r>
    </w:p>
    <w:p>
      <w:pPr>
        <w:spacing w:after="0" w:line="19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5"/>
          <w:szCs w:val="15"/>
          <w:color w:val="212529"/>
        </w:rPr>
        <w:t>Under the terms of the License Agreement, the Company will pay Leads up to $38 million, comprised of $30 million in upfront and near-term milestone payments plus an additional $8 million milestone, payable in cash or the Company's common stock at the Company's election, upon the initiation of a Dianthus-led Phase 1 study, for exclusive rights to develop and commercialize DNTH212 globally outside of Greater China. Leads will also be eligible to receive up to $962 million in development and regulatory approval milestones and sales-based milestones across five indications, as well as tiered royalties from mid-single digits up to a low double-digit on ex-Greater China net sales.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Governance and Development</w:t>
      </w:r>
    </w:p>
    <w:p>
      <w:pPr>
        <w:spacing w:after="0" w:line="19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6"/>
          <w:szCs w:val="16"/>
          <w:color w:val="auto"/>
        </w:rPr>
        <w:t>A joint steering committee will oversee manufacturing, development, and commercial activities related to DNTH212. Leads will have the right to participate in the Company's global clinical studies with DNTH212 and enroll patients in Greater China. Leads will be responsible for certain costs with respect to patients enrolled in Greater China in the Company's global studies in which Leads has elected to participate.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Non-Competition</w:t>
      </w:r>
    </w:p>
    <w:p>
      <w:pPr>
        <w:spacing w:after="0" w:line="19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Leads and the Company are prohibited from directly or indirectly researching, developing, manufacturing or commercializing a competing product, as defined in the License Agreement, in the Company's territory outside of Greater China.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 and Termination</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The License Agreement will remain in effect on a country-by-country and product-by-product basis until expiration of the applicable royalty term, unless earlier terminated. Each party has customary termination rights, including for uncured material breach, insolvency, patent challenge, or, in the case of the Company, for convenience.</w:t>
      </w:r>
    </w:p>
    <w:p>
      <w:pPr>
        <w:spacing w:after="0" w:line="145"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auto"/>
        </w:rPr>
        <w:t>The foregoing description of the License Agreement does not purport to be complete and is qualified in its entirety by reference to the License Agreement, a copy of which the Company will file as an exhibit to its Annual Report on Form 10-K for the year ending December 31, 2025.</w:t>
      </w:r>
    </w:p>
    <w:p>
      <w:pPr>
        <w:spacing w:after="0" w:line="23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set forth below under “Preliminary Financial Information for the Three Months Ended September 30, 2025” in Item 8.01 is incorporated by reference herein.</w:t>
      </w:r>
    </w:p>
    <w:p>
      <w:pPr>
        <w:spacing w:after="0" w:line="19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i w:val="1"/>
          <w:iCs w:val="1"/>
          <w:color w:val="auto"/>
        </w:rPr>
        <w:t>Such information is being “furnished” and shall not be deemed “filed” for purposes of Section 18 of the Securities Exchange Act of 1934, as amended (the “Exchange Act”), or otherwise subject to the liability of that Section or Sections 11 and 12(a)(2) of the Securities Act of 1933, as amended (the “Securities Act”). Such information shall not be incorporated by reference into any registration statement or other document pursuant to the Securities Act or into any filing or other document pursuant to the Exchange Act, except as otherwise expressly stated in any such filing.</w:t>
      </w:r>
    </w:p>
    <w:p>
      <w:pPr>
        <w:spacing w:after="0" w:line="25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9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On October 16, 2025, the Company made publicly available on the investor relations section of its website a presentation announcing the execution of the License Agreement in connection with a conference call with investors to be held at 8:00 a.m. ET on October 16, 2025 (the “Presentation”). The Presentation is filed as Exhibit 99.1 and is incorporated by reference into this Item 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397510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color w:val="auto"/>
        </w:rPr>
        <w:t>Preliminary Financial Information for the Three Months Ended September 30, 2025</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In the Presentation, the Company disclosed its estimated cash, cash equivalents and investments as of September 30, 2025. While the Company has not finalized its full financial results for the three months ended September 30, 2025, the Company expects to report that it had approximately $555 million of cash, cash equivalents and investments as of September 30, 2025, with pro forma cash of approximately $525 million of cash, cash equivalents, and investments after deducting near term and upfront milestone payments to Leads of $30 million. This amount is preliminary, has not been audited and is subject to change pending completion of the Company’s unaudited financial statements for the three months ended September 30, 2025. Additional information and disclosures would be required for a more complete understanding of the Company’s financial position and results of operations as of September 30, 2025. The Company’s independent registered public accounting firm has not audited, reviewed or performed any procedures with respect to this preliminary information and, accordingly, does not express an opinion or any other form of assurance about such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Forward-Looking Statements</w:t>
      </w:r>
    </w:p>
    <w:p>
      <w:pPr>
        <w:spacing w:after="0" w:line="19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This Current Report on Form 8-K contains statements that may constitute “forward-looking statements” within the meaning of the federal securities laws, including, but not limited to, statements relating to the Company’s expected financial results and the License Agreement. Words such as “may,” “might,” “will,” “objective,” “intend,” “should,” “could,” “can,” “would,” “expect,” “believe,” “design,” “estimate,” “predict,” “potential,” “anticipate,” “goal,” “opportunity,” “develop,” “plan” or the negative of these terms, and similar expressions, or statements regarding intent, belief, or current expectations, are forward looking statements. While the Company believes these forward-looking statements are reasonable, undue reliance should not be placed on any such forward-looking statements, which are based on information available to us on the date of this report. These forward-looking statements are based upon current estimates and assumptions and are subject to various risks and uncertainties (including, without limitation, those set forth in the Company's filings with the SEC), many of which are beyond the Company's control and subject to change. Actual results could be materially different. The Company claims the protection of the Safe Harbor contained in the Private Securities Litigation Reform Act of 1995 for forward-looking statements and expressly disclaims any obligation to update or alter any statements whether as a result of new information, future events or otherwise, except as required by law.</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104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8"/>
        </w:trPr>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2600" w:type="dxa"/>
            <w:vAlign w:val="bottom"/>
          </w:tcPr>
          <w:p>
            <w:pPr>
              <w:spacing w:after="0"/>
              <w:rPr>
                <w:sz w:val="18"/>
                <w:szCs w:val="18"/>
                <w:color w:val="auto"/>
              </w:rPr>
            </w:pPr>
          </w:p>
        </w:tc>
      </w:tr>
      <w:tr>
        <w:trPr>
          <w:trHeight w:val="335"/>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24"/>
                <w:szCs w:val="24"/>
                <w:color w:val="auto"/>
              </w:rPr>
            </w:pPr>
          </w:p>
        </w:tc>
        <w:tc>
          <w:tcPr>
            <w:tcW w:w="3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8"/>
              </w:rPr>
              <w:t>Company Presentation, dated October 16, 2025</w:t>
            </w:r>
          </w:p>
        </w:tc>
        <w:tc>
          <w:tcPr>
            <w:tcW w:w="20" w:type="dxa"/>
            <w:vAlign w:val="bottom"/>
            <w:tcBorders>
              <w:bottom w:val="single" w:sz="8" w:color="0000EE"/>
            </w:tcBorders>
          </w:tcPr>
          <w:p>
            <w:pPr>
              <w:spacing w:after="0"/>
              <w:rPr>
                <w:sz w:val="24"/>
                <w:szCs w:val="24"/>
                <w:color w:val="auto"/>
              </w:rPr>
            </w:pPr>
          </w:p>
        </w:tc>
        <w:tc>
          <w:tcPr>
            <w:tcW w:w="7400" w:type="dxa"/>
            <w:vAlign w:val="bottom"/>
            <w:gridSpan w:val="2"/>
          </w:tcPr>
          <w:p>
            <w:pPr>
              <w:spacing w:after="0"/>
              <w:rPr>
                <w:sz w:val="24"/>
                <w:szCs w:val="24"/>
                <w:color w:val="auto"/>
              </w:rPr>
            </w:pPr>
          </w:p>
        </w:tc>
      </w:tr>
      <w:tr>
        <w:trPr>
          <w:trHeight w:val="205"/>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104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3" w:name="page4"/>
    <w:bookmarkEnd w:id="3"/>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DIANTHUS THERAPEUTICS, INC.</w:t>
      </w:r>
    </w:p>
    <w:p>
      <w:pPr>
        <w:spacing w:after="0" w:line="32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October 16,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Adam M. Veness,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Adam M. Veness, Esq.</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SVP,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878" w:right="85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2025-10-16T07:05:33Z</dcterms:created>
  <dcterms:modified xsi:type="dcterms:W3CDTF">2025-10-16T07:05:33Z</dcterms:modified>
</cp:coreProperties>
</file>