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509270</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524510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2857500</wp:posOffset>
            </wp:positionH>
            <wp:positionV relativeFrom="paragraph">
              <wp:posOffset>118745</wp:posOffset>
            </wp:positionV>
            <wp:extent cx="1426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2857500</wp:posOffset>
            </wp:positionH>
            <wp:positionV relativeFrom="paragraph">
              <wp:posOffset>145415</wp:posOffset>
            </wp:positionV>
            <wp:extent cx="1426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97"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June 12,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2857500</wp:posOffset>
            </wp:positionH>
            <wp:positionV relativeFrom="paragraph">
              <wp:posOffset>187960</wp:posOffset>
            </wp:positionV>
            <wp:extent cx="1426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8"/>
          <w:szCs w:val="38"/>
          <w:b w:val="1"/>
          <w:bCs w:val="1"/>
          <w:color w:val="auto"/>
        </w:rPr>
        <w:t>DIANTHUS THERAPEUTICS, INC.</w:t>
      </w:r>
    </w:p>
    <w:p>
      <w:pPr>
        <w:spacing w:after="0" w:line="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2857500</wp:posOffset>
            </wp:positionH>
            <wp:positionV relativeFrom="paragraph">
              <wp:posOffset>213360</wp:posOffset>
            </wp:positionV>
            <wp:extent cx="14268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tbl>
      <w:tblPr>
        <w:tblLayout w:type="fixed"/>
        <w:tblInd w:w="1300" w:type="dxa"/>
        <w:tblCellMar>
          <w:top w:w="0" w:type="dxa"/>
          <w:left w:w="0" w:type="dxa"/>
          <w:bottom w:w="0" w:type="dxa"/>
          <w:right w:w="0" w:type="dxa"/>
        </w:tblCellMar>
      </w:tblPr>
      <w:tr>
        <w:trPr>
          <w:trHeight w:val="195"/>
        </w:trPr>
        <w:tc>
          <w:tcPr>
            <w:tcW w:w="2840" w:type="dxa"/>
            <w:vAlign w:val="bottom"/>
          </w:tcPr>
          <w:p>
            <w:pPr>
              <w:jc w:val="center"/>
              <w:ind w:right="77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260" w:type="dxa"/>
            <w:vAlign w:val="bottom"/>
          </w:tcPr>
          <w:p>
            <w:pPr>
              <w:jc w:val="right"/>
              <w:ind w:right="1351"/>
              <w:spacing w:after="0"/>
              <w:rPr>
                <w:sz w:val="20"/>
                <w:szCs w:val="20"/>
                <w:color w:val="auto"/>
              </w:rPr>
            </w:pPr>
            <w:r>
              <w:rPr>
                <w:rFonts w:ascii="Times New Roman" w:cs="Times New Roman" w:eastAsia="Times New Roman" w:hAnsi="Times New Roman"/>
                <w:sz w:val="16"/>
                <w:szCs w:val="16"/>
                <w:b w:val="1"/>
                <w:bCs w:val="1"/>
                <w:color w:val="auto"/>
              </w:rPr>
              <w:t>001-38541</w:t>
            </w:r>
          </w:p>
        </w:tc>
        <w:tc>
          <w:tcPr>
            <w:tcW w:w="202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81-0724163</w:t>
            </w:r>
          </w:p>
        </w:tc>
      </w:tr>
      <w:tr>
        <w:trPr>
          <w:trHeight w:val="130"/>
        </w:trPr>
        <w:tc>
          <w:tcPr>
            <w:tcW w:w="2840" w:type="dxa"/>
            <w:vAlign w:val="bottom"/>
          </w:tcPr>
          <w:p>
            <w:pPr>
              <w:jc w:val="center"/>
              <w:ind w:right="770"/>
              <w:spacing w:after="0" w:line="130" w:lineRule="exact"/>
              <w:rPr>
                <w:sz w:val="20"/>
                <w:szCs w:val="20"/>
                <w:color w:val="auto"/>
              </w:rPr>
            </w:pPr>
            <w:r>
              <w:rPr>
                <w:rFonts w:ascii="Times New Roman" w:cs="Times New Roman" w:eastAsia="Times New Roman" w:hAnsi="Times New Roman"/>
                <w:sz w:val="12"/>
                <w:szCs w:val="12"/>
                <w:b w:val="1"/>
                <w:bCs w:val="1"/>
                <w:color w:val="auto"/>
                <w:w w:val="98"/>
              </w:rPr>
              <w:t>(State or Other Jurisdiction</w:t>
            </w:r>
          </w:p>
        </w:tc>
        <w:tc>
          <w:tcPr>
            <w:tcW w:w="3260" w:type="dxa"/>
            <w:vAlign w:val="bottom"/>
          </w:tcPr>
          <w:p>
            <w:pPr>
              <w:jc w:val="center"/>
              <w:ind w:right="211"/>
              <w:spacing w:after="0" w:line="130" w:lineRule="exact"/>
              <w:rPr>
                <w:sz w:val="20"/>
                <w:szCs w:val="20"/>
                <w:color w:val="auto"/>
              </w:rPr>
            </w:pPr>
            <w:r>
              <w:rPr>
                <w:rFonts w:ascii="Times New Roman" w:cs="Times New Roman" w:eastAsia="Times New Roman" w:hAnsi="Times New Roman"/>
                <w:sz w:val="12"/>
                <w:szCs w:val="12"/>
                <w:b w:val="1"/>
                <w:bCs w:val="1"/>
                <w:color w:val="auto"/>
                <w:w w:val="99"/>
              </w:rPr>
              <w:t>(Commission File Number)</w:t>
            </w:r>
          </w:p>
        </w:tc>
        <w:tc>
          <w:tcPr>
            <w:tcW w:w="2020" w:type="dxa"/>
            <w:vAlign w:val="bottom"/>
          </w:tcPr>
          <w:p>
            <w:pPr>
              <w:jc w:val="center"/>
              <w:ind w:left="1013"/>
              <w:spacing w:after="0" w:line="130" w:lineRule="exact"/>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55"/>
        </w:trPr>
        <w:tc>
          <w:tcPr>
            <w:tcW w:w="2840" w:type="dxa"/>
            <w:vAlign w:val="bottom"/>
          </w:tcPr>
          <w:p>
            <w:pPr>
              <w:jc w:val="center"/>
              <w:ind w:right="770"/>
              <w:spacing w:after="0"/>
              <w:rPr>
                <w:sz w:val="20"/>
                <w:szCs w:val="20"/>
                <w:color w:val="auto"/>
              </w:rPr>
            </w:pPr>
            <w:r>
              <w:rPr>
                <w:rFonts w:ascii="Times New Roman" w:cs="Times New Roman" w:eastAsia="Times New Roman" w:hAnsi="Times New Roman"/>
                <w:sz w:val="12"/>
                <w:szCs w:val="12"/>
                <w:b w:val="1"/>
                <w:bCs w:val="1"/>
                <w:color w:val="auto"/>
                <w:w w:val="98"/>
              </w:rPr>
              <w:t>of Incorporation)</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348"/>
        </w:trPr>
        <w:tc>
          <w:tcPr>
            <w:tcW w:w="2840" w:type="dxa"/>
            <w:vAlign w:val="bottom"/>
          </w:tcPr>
          <w:p>
            <w:pPr>
              <w:jc w:val="center"/>
              <w:ind w:right="750"/>
              <w:spacing w:after="0"/>
              <w:rPr>
                <w:sz w:val="20"/>
                <w:szCs w:val="20"/>
                <w:color w:val="auto"/>
              </w:rPr>
            </w:pPr>
            <w:r>
              <w:rPr>
                <w:rFonts w:ascii="Times New Roman" w:cs="Times New Roman" w:eastAsia="Times New Roman" w:hAnsi="Times New Roman"/>
                <w:sz w:val="16"/>
                <w:szCs w:val="16"/>
                <w:b w:val="1"/>
                <w:bCs w:val="1"/>
                <w:color w:val="auto"/>
                <w:w w:val="99"/>
              </w:rPr>
              <w:t>7 Times Square</w:t>
            </w:r>
          </w:p>
        </w:tc>
        <w:tc>
          <w:tcPr>
            <w:tcW w:w="3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89"/>
        </w:trPr>
        <w:tc>
          <w:tcPr>
            <w:tcW w:w="2840" w:type="dxa"/>
            <w:vAlign w:val="bottom"/>
          </w:tcPr>
          <w:p>
            <w:pPr>
              <w:jc w:val="center"/>
              <w:ind w:right="770"/>
              <w:spacing w:after="0"/>
              <w:rPr>
                <w:sz w:val="20"/>
                <w:szCs w:val="20"/>
                <w:color w:val="auto"/>
              </w:rPr>
            </w:pPr>
            <w:r>
              <w:rPr>
                <w:rFonts w:ascii="Times New Roman" w:cs="Times New Roman" w:eastAsia="Times New Roman" w:hAnsi="Times New Roman"/>
                <w:sz w:val="16"/>
                <w:szCs w:val="16"/>
                <w:b w:val="1"/>
                <w:bCs w:val="1"/>
                <w:color w:val="auto"/>
                <w:w w:val="98"/>
              </w:rPr>
              <w:t>43rd Floor</w:t>
            </w:r>
          </w:p>
        </w:tc>
        <w:tc>
          <w:tcPr>
            <w:tcW w:w="326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195"/>
        </w:trPr>
        <w:tc>
          <w:tcPr>
            <w:tcW w:w="2840" w:type="dxa"/>
            <w:vAlign w:val="bottom"/>
          </w:tcPr>
          <w:p>
            <w:pPr>
              <w:jc w:val="center"/>
              <w:ind w:right="750"/>
              <w:spacing w:after="0"/>
              <w:rPr>
                <w:sz w:val="20"/>
                <w:szCs w:val="20"/>
                <w:color w:val="auto"/>
              </w:rPr>
            </w:pPr>
            <w:r>
              <w:rPr>
                <w:rFonts w:ascii="Times New Roman" w:cs="Times New Roman" w:eastAsia="Times New Roman" w:hAnsi="Times New Roman"/>
                <w:sz w:val="16"/>
                <w:szCs w:val="16"/>
                <w:b w:val="1"/>
                <w:bCs w:val="1"/>
                <w:color w:val="auto"/>
                <w:w w:val="98"/>
              </w:rPr>
              <w:t>New York, New York</w:t>
            </w:r>
          </w:p>
        </w:tc>
        <w:tc>
          <w:tcPr>
            <w:tcW w:w="3260" w:type="dxa"/>
            <w:vAlign w:val="bottom"/>
          </w:tcPr>
          <w:p>
            <w:pPr>
              <w:spacing w:after="0"/>
              <w:rPr>
                <w:sz w:val="16"/>
                <w:szCs w:val="16"/>
                <w:color w:val="auto"/>
              </w:rPr>
            </w:pPr>
          </w:p>
        </w:tc>
        <w:tc>
          <w:tcPr>
            <w:tcW w:w="202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10036</w:t>
            </w:r>
          </w:p>
        </w:tc>
      </w:tr>
      <w:tr>
        <w:trPr>
          <w:trHeight w:val="155"/>
        </w:trPr>
        <w:tc>
          <w:tcPr>
            <w:tcW w:w="2840" w:type="dxa"/>
            <w:vAlign w:val="bottom"/>
          </w:tcPr>
          <w:p>
            <w:pPr>
              <w:jc w:val="center"/>
              <w:ind w:right="750"/>
              <w:spacing w:after="0"/>
              <w:rPr>
                <w:sz w:val="20"/>
                <w:szCs w:val="20"/>
                <w:color w:val="auto"/>
              </w:rPr>
            </w:pPr>
            <w:r>
              <w:rPr>
                <w:rFonts w:ascii="Times New Roman" w:cs="Times New Roman" w:eastAsia="Times New Roman" w:hAnsi="Times New Roman"/>
                <w:sz w:val="12"/>
                <w:szCs w:val="12"/>
                <w:b w:val="1"/>
                <w:bCs w:val="1"/>
                <w:color w:val="auto"/>
                <w:w w:val="98"/>
              </w:rPr>
              <w:t>(Address of Principal Executive Offices)</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6"/>
              </w:rPr>
              <w:t>(Zip Code)</w:t>
            </w:r>
          </w:p>
        </w:tc>
      </w:tr>
    </w:tbl>
    <w:p>
      <w:pPr>
        <w:spacing w:after="0" w:line="359"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 xml:space="preserve">Registrant’s Telephone Number, Including Area Code: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929) 999-4055</w:t>
      </w:r>
    </w:p>
    <w:p>
      <w:pPr>
        <w:spacing w:after="0" w:line="200" w:lineRule="exact"/>
        <w:rPr>
          <w:sz w:val="24"/>
          <w:szCs w:val="24"/>
          <w:color w:val="auto"/>
        </w:rPr>
      </w:pP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2857500</wp:posOffset>
            </wp:positionH>
            <wp:positionV relativeFrom="paragraph">
              <wp:posOffset>220980</wp:posOffset>
            </wp:positionV>
            <wp:extent cx="14268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00" w:lineRule="exact"/>
        <w:rPr>
          <w:sz w:val="24"/>
          <w:szCs w:val="24"/>
          <w:color w:val="auto"/>
        </w:rPr>
      </w:pPr>
    </w:p>
    <w:p>
      <w:pPr>
        <w:ind w:left="1020" w:hanging="458"/>
        <w:spacing w:after="0"/>
        <w:tabs>
          <w:tab w:leader="none" w:pos="10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11" w:lineRule="exact"/>
        <w:rPr>
          <w:rFonts w:ascii="MS PGothic" w:cs="MS PGothic" w:eastAsia="MS PGothic" w:hAnsi="MS PGothic"/>
          <w:sz w:val="16"/>
          <w:szCs w:val="16"/>
          <w:color w:val="auto"/>
        </w:rPr>
      </w:pPr>
    </w:p>
    <w:p>
      <w:pPr>
        <w:ind w:left="1020" w:hanging="458"/>
        <w:spacing w:after="0"/>
        <w:tabs>
          <w:tab w:leader="none" w:pos="10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11" w:lineRule="exact"/>
        <w:rPr>
          <w:rFonts w:ascii="MS PGothic" w:cs="MS PGothic" w:eastAsia="MS PGothic" w:hAnsi="MS PGothic"/>
          <w:sz w:val="16"/>
          <w:szCs w:val="16"/>
          <w:color w:val="auto"/>
        </w:rPr>
      </w:pPr>
    </w:p>
    <w:p>
      <w:pPr>
        <w:ind w:left="1020" w:hanging="458"/>
        <w:spacing w:after="0"/>
        <w:tabs>
          <w:tab w:leader="none" w:pos="10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11" w:lineRule="exact"/>
        <w:rPr>
          <w:rFonts w:ascii="MS PGothic" w:cs="MS PGothic" w:eastAsia="MS PGothic" w:hAnsi="MS PGothic"/>
          <w:sz w:val="16"/>
          <w:szCs w:val="16"/>
          <w:color w:val="auto"/>
        </w:rPr>
      </w:pPr>
    </w:p>
    <w:p>
      <w:pPr>
        <w:ind w:left="1020" w:hanging="458"/>
        <w:spacing w:after="0"/>
        <w:tabs>
          <w:tab w:leader="none" w:pos="10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45" w:lineRule="exact"/>
        <w:rPr>
          <w:rFonts w:ascii="MS PGothic" w:cs="MS PGothic" w:eastAsia="MS PGothic" w:hAnsi="MS PGothic"/>
          <w:sz w:val="16"/>
          <w:szCs w:val="16"/>
          <w:color w:val="auto"/>
        </w:rPr>
      </w:pPr>
    </w:p>
    <w:p>
      <w:pPr>
        <w:ind w:left="3700"/>
        <w:spacing w:after="0"/>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4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120" w:type="dxa"/>
            <w:vAlign w:val="bottom"/>
          </w:tcPr>
          <w:p>
            <w:pPr>
              <w:spacing w:after="0"/>
              <w:rPr>
                <w:sz w:val="16"/>
                <w:szCs w:val="16"/>
                <w:color w:val="auto"/>
              </w:rPr>
            </w:pPr>
          </w:p>
        </w:tc>
        <w:tc>
          <w:tcPr>
            <w:tcW w:w="5060" w:type="dxa"/>
            <w:vAlign w:val="bottom"/>
          </w:tcPr>
          <w:p>
            <w:pPr>
              <w:spacing w:after="0"/>
              <w:rPr>
                <w:sz w:val="16"/>
                <w:szCs w:val="16"/>
                <w:color w:val="auto"/>
              </w:rPr>
            </w:pPr>
          </w:p>
        </w:tc>
      </w:tr>
      <w:tr>
        <w:trPr>
          <w:trHeight w:val="20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120" w:type="dxa"/>
            <w:vAlign w:val="bottom"/>
          </w:tcPr>
          <w:p>
            <w:pPr>
              <w:spacing w:after="0"/>
              <w:rPr>
                <w:sz w:val="18"/>
                <w:szCs w:val="18"/>
                <w:color w:val="auto"/>
              </w:rPr>
            </w:pPr>
          </w:p>
        </w:tc>
        <w:tc>
          <w:tcPr>
            <w:tcW w:w="5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r>
      <w:tr>
        <w:trPr>
          <w:trHeight w:val="198"/>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Common Stock, $0.001 Par Value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DNTH</w:t>
            </w:r>
          </w:p>
        </w:tc>
        <w:tc>
          <w:tcPr>
            <w:tcW w:w="120" w:type="dxa"/>
            <w:vAlign w:val="bottom"/>
          </w:tcPr>
          <w:p>
            <w:pPr>
              <w:spacing w:after="0"/>
              <w:rPr>
                <w:sz w:val="17"/>
                <w:szCs w:val="17"/>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The Nasdaq Capital Market</w:t>
            </w:r>
          </w:p>
        </w:tc>
      </w:tr>
    </w:tbl>
    <w:p>
      <w:pPr>
        <w:spacing w:after="0" w:line="155" w:lineRule="exact"/>
        <w:rPr>
          <w:sz w:val="24"/>
          <w:szCs w:val="24"/>
          <w:color w:val="auto"/>
        </w:rPr>
      </w:pPr>
    </w:p>
    <w:p>
      <w:pPr>
        <w:ind w:right="22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3"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81" w:lineRule="exact"/>
        <w:rPr>
          <w:sz w:val="24"/>
          <w:szCs w:val="24"/>
          <w:color w:val="auto"/>
        </w:rPr>
      </w:pPr>
    </w:p>
    <w:p>
      <w:pPr>
        <w:ind w:right="30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535305</wp:posOffset>
            </wp:positionV>
            <wp:extent cx="717486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105410</wp:posOffset>
            </wp:positionV>
            <wp:extent cx="71494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120015</wp:posOffset>
            </wp:positionV>
            <wp:extent cx="714946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ectPr>
          <w:pgSz w:w="11900" w:h="16838" w:orient="portrait"/>
          <w:cols w:equalWidth="0" w:num="1">
            <w:col w:w="11260"/>
          </w:cols>
          <w:pgMar w:left="320" w:top="1079" w:right="319" w:bottom="1440" w:gutter="0" w:footer="0" w:header="0"/>
        </w:sectPr>
      </w:pPr>
    </w:p>
    <w:bookmarkStart w:id="1" w:name="page2"/>
    <w:bookmarkEnd w:id="1"/>
    <w:p>
      <w:pPr>
        <w:spacing w:after="0"/>
        <w:tabs>
          <w:tab w:leader="none" w:pos="920" w:val="left"/>
        </w:tabs>
        <w:rPr>
          <w:sz w:val="20"/>
          <w:szCs w:val="20"/>
          <w:color w:val="auto"/>
        </w:rPr>
      </w:pPr>
      <w:r>
        <w:rPr>
          <w:rFonts w:ascii="Times New Roman" w:cs="Times New Roman" w:eastAsia="Times New Roman" w:hAnsi="Times New Roman"/>
          <w:sz w:val="16"/>
          <w:szCs w:val="16"/>
          <w:b w:val="1"/>
          <w:bCs w:val="1"/>
          <w:color w:val="auto"/>
        </w:rPr>
        <w:t>Item 8.01</w:t>
      </w:r>
      <w:r>
        <w:rPr>
          <w:sz w:val="20"/>
          <w:szCs w:val="20"/>
          <w:color w:val="auto"/>
        </w:rPr>
        <w:tab/>
      </w:r>
      <w:r>
        <w:rPr>
          <w:rFonts w:ascii="Times New Roman" w:cs="Times New Roman" w:eastAsia="Times New Roman" w:hAnsi="Times New Roman"/>
          <w:sz w:val="15"/>
          <w:szCs w:val="15"/>
          <w:b w:val="1"/>
          <w:bCs w:val="1"/>
          <w:color w:val="auto"/>
        </w:rPr>
        <w:t>Other Events.</w:t>
      </w:r>
    </w:p>
    <w:p>
      <w:pPr>
        <w:spacing w:after="0" w:line="161"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6"/>
          <w:szCs w:val="16"/>
          <w:color w:val="auto"/>
        </w:rPr>
        <w:t>On June 11, 2026, Dianthus Therapeutics, Inc. (the "Company") posted an updated corporate presentation (the "Presentation") on the investor relations section of its website, which included the following interim responder analysis data for the first 40 patients that completed Part A of the Phase 3 CAPTIVATE trial of claseprubart in chronic inflammatory demyelinating polyneuropathy: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109855</wp:posOffset>
            </wp:positionV>
            <wp:extent cx="5407025" cy="30264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07025" cy="3026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Presentation is filed as Exhibit 99.1 and is incorporated by reference into this Item 8.01.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 Exhibits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20" w:type="dxa"/>
            <w:vAlign w:val="bottom"/>
          </w:tcPr>
          <w:p>
            <w:pPr>
              <w:spacing w:after="0"/>
              <w:rPr>
                <w:sz w:val="16"/>
                <w:szCs w:val="16"/>
                <w:color w:val="auto"/>
              </w:rPr>
            </w:pPr>
          </w:p>
        </w:tc>
        <w:tc>
          <w:tcPr>
            <w:tcW w:w="1042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208"/>
        </w:trPr>
        <w:tc>
          <w:tcPr>
            <w:tcW w:w="7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No.</w:t>
            </w:r>
          </w:p>
        </w:tc>
        <w:tc>
          <w:tcPr>
            <w:tcW w:w="120" w:type="dxa"/>
            <w:vAlign w:val="bottom"/>
          </w:tcPr>
          <w:p>
            <w:pPr>
              <w:spacing w:after="0"/>
              <w:rPr>
                <w:sz w:val="18"/>
                <w:szCs w:val="18"/>
                <w:color w:val="auto"/>
              </w:rPr>
            </w:pPr>
          </w:p>
        </w:tc>
        <w:tc>
          <w:tcPr>
            <w:tcW w:w="45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tcPr>
          <w:p>
            <w:pPr>
              <w:spacing w:after="0"/>
              <w:rPr>
                <w:sz w:val="18"/>
                <w:szCs w:val="18"/>
                <w:color w:val="auto"/>
              </w:rPr>
            </w:pPr>
          </w:p>
        </w:tc>
        <w:tc>
          <w:tcPr>
            <w:tcW w:w="2600" w:type="dxa"/>
            <w:vAlign w:val="bottom"/>
          </w:tcPr>
          <w:p>
            <w:pPr>
              <w:spacing w:after="0"/>
              <w:rPr>
                <w:sz w:val="18"/>
                <w:szCs w:val="18"/>
                <w:color w:val="auto"/>
              </w:rPr>
            </w:pPr>
          </w:p>
        </w:tc>
      </w:tr>
      <w:tr>
        <w:trPr>
          <w:trHeight w:val="335"/>
        </w:trPr>
        <w:tc>
          <w:tcPr>
            <w:tcW w:w="720" w:type="dxa"/>
            <w:vAlign w:val="bottom"/>
          </w:tcPr>
          <w:p>
            <w:pPr>
              <w:spacing w:after="0"/>
              <w:rPr>
                <w:sz w:val="20"/>
                <w:szCs w:val="20"/>
                <w:color w:val="auto"/>
              </w:rPr>
            </w:pPr>
            <w:r>
              <w:rPr>
                <w:rFonts w:ascii="Times New Roman" w:cs="Times New Roman" w:eastAsia="Times New Roman" w:hAnsi="Times New Roman"/>
                <w:sz w:val="16"/>
                <w:szCs w:val="16"/>
                <w:color w:val="auto"/>
              </w:rPr>
              <w:t>99.1</w:t>
            </w:r>
          </w:p>
        </w:tc>
        <w:tc>
          <w:tcPr>
            <w:tcW w:w="120" w:type="dxa"/>
            <w:vAlign w:val="bottom"/>
          </w:tcPr>
          <w:p>
            <w:pPr>
              <w:spacing w:after="0"/>
              <w:rPr>
                <w:sz w:val="24"/>
                <w:szCs w:val="24"/>
                <w:color w:val="auto"/>
              </w:rPr>
            </w:pPr>
          </w:p>
        </w:tc>
        <w:tc>
          <w:tcPr>
            <w:tcW w:w="4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98"/>
              </w:rPr>
              <w:t>Corporate Presentation of Dianthus Therapeutics, Inc., dated June 2026</w:t>
            </w:r>
          </w:p>
        </w:tc>
        <w:tc>
          <w:tcPr>
            <w:tcW w:w="20" w:type="dxa"/>
            <w:vAlign w:val="bottom"/>
            <w:tcBorders>
              <w:bottom w:val="single" w:sz="8" w:color="0000EE"/>
            </w:tcBorders>
          </w:tcPr>
          <w:p>
            <w:pPr>
              <w:spacing w:after="0"/>
              <w:rPr>
                <w:sz w:val="24"/>
                <w:szCs w:val="24"/>
                <w:color w:val="auto"/>
              </w:rPr>
            </w:pPr>
          </w:p>
        </w:tc>
        <w:tc>
          <w:tcPr>
            <w:tcW w:w="5880" w:type="dxa"/>
            <w:vAlign w:val="bottom"/>
            <w:gridSpan w:val="2"/>
          </w:tcPr>
          <w:p>
            <w:pPr>
              <w:spacing w:after="0"/>
              <w:rPr>
                <w:sz w:val="24"/>
                <w:szCs w:val="24"/>
                <w:color w:val="auto"/>
              </w:rPr>
            </w:pPr>
          </w:p>
        </w:tc>
      </w:tr>
      <w:tr>
        <w:trPr>
          <w:trHeight w:val="205"/>
        </w:trPr>
        <w:tc>
          <w:tcPr>
            <w:tcW w:w="72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Pr>
          <w:p>
            <w:pPr>
              <w:spacing w:after="0"/>
              <w:rPr>
                <w:sz w:val="17"/>
                <w:szCs w:val="17"/>
                <w:color w:val="auto"/>
              </w:rPr>
            </w:pPr>
          </w:p>
        </w:tc>
        <w:tc>
          <w:tcPr>
            <w:tcW w:w="104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r>
      <w:tr>
        <w:trPr>
          <w:trHeight w:val="854"/>
        </w:trPr>
        <w:tc>
          <w:tcPr>
            <w:tcW w:w="7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972" w:right="319" w:bottom="1440" w:gutter="0" w:footer="0" w:header="0"/>
        </w:sectPr>
      </w:pPr>
    </w:p>
    <w:bookmarkStart w:id="2" w:name="page3"/>
    <w:bookmarkEnd w:id="2"/>
    <w:p>
      <w:pPr>
        <w:ind w:left="5120"/>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49"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7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b w:val="1"/>
          <w:bCs w:val="1"/>
          <w:color w:val="auto"/>
        </w:rPr>
        <w:t>DIANTHUS THERAPEUTICS, INC.</w:t>
      </w:r>
    </w:p>
    <w:p>
      <w:pPr>
        <w:spacing w:after="0" w:line="327"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6"/>
          <w:szCs w:val="16"/>
          <w:color w:val="auto"/>
        </w:rPr>
        <w:t>June 12, 2026</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Adam M. Veness,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13970</wp:posOffset>
            </wp:positionV>
            <wp:extent cx="328168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81680" cy="7620"/>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color w:val="auto"/>
        </w:rPr>
        <w:t>Adam M. Veness, Esq.</w:t>
      </w:r>
    </w:p>
    <w:p>
      <w:pPr>
        <w:spacing w:after="0" w:line="2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color w:val="auto"/>
        </w:rPr>
        <w:t>SVP,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621030</wp:posOffset>
            </wp:positionV>
            <wp:extent cx="717486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720"/>
          </w:cols>
          <w:pgMar w:left="320" w:top="878" w:right="859" w:bottom="1440"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45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6775" cy="4345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2026-06-12T06:05:20Z</dcterms:created>
  <dcterms:modified xsi:type="dcterms:W3CDTF">2026-06-12T06:05:20Z</dcterms:modified>
</cp:coreProperties>
</file>