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Veness Adam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DIANTHUS THERAPEUTICS,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 TIMES SQUARE, 43RD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Dianthus Therapeutics, Inc. /DE/</w:t>
              </w:r>
            </w:hyperlink>
            <w:r>
              <w:rPr/>
              <w:t xml:space="preserve"> [ </w:t>
            </w:r>
            <w:r>
              <w:rPr>
                <w:rFonts w:ascii="Times;serif" w:hAnsi="Times;serif"/>
                <w:color w:val="0000FF"/>
                <w:sz w:val="24"/>
                <w:shd w:fill="FFFFFF" w:val="clear"/>
              </w:rPr>
              <w:t>DNTH</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General Counsel and Sec.</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18.17</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18.17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06/28/2033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73,240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of common stock underlying this stock option award vested as to 25% of the shares on June 20, 2024, with the remaining three quarters vesting in equal monthly installments over the following three years, subject to the Reporting Person's continued service to the Issuer on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Adam Veness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8623" TargetMode="External"/><Relationship Id="rId5" Type="http://schemas.openxmlformats.org/officeDocument/2006/relationships/hyperlink" Target="http://www.sec.gov/cgi-bin/browse-edgar?action=getcompany&amp;CIK=00016905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3439</Characters>
  <CharactersWithSpaces>3999</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