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Dianthus Therapeutics, Inc. /DE/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Octagon Capital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1,946,667.00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1,946,667.00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1,946,667.00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Octagon Investments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Octagon Biotech Opportunities Fund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291,667.00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291,667.00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Ting Jia</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1,946,667.00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1,946,667.00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1,946,667.00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126"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Dianthus Therapeutics, Inc.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 Times Square, 43rd Floor,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jointly filed by: Octagon Capital Advisors LP ("Octagon") Octagon Investments Master Fund</w:t>
      </w:r>
    </w:p>
    <w:p>
      <w:pPr>
        <w:spacing w:after="0" w:line="26" w:lineRule="exact"/>
        <w:rPr>
          <w:sz w:val="20"/>
          <w:szCs w:val="20"/>
          <w:color w:val="auto"/>
        </w:rPr>
      </w:pPr>
    </w:p>
    <w:p>
      <w:pPr>
        <w:ind w:left="920" w:hanging="912"/>
        <w:spacing w:after="0" w:line="208"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LP ("Master Fund") Octagon Biotech Opportunities Fund I LP ("Biotech Fund I") Ting Jia, as the principal beneficial owner of Octagon ("Dr. Jia") Each of the foregoing is referred to as a "Reporting Person" and collectively as the "Reporting Persons." Octagon serves as the investment manager of the Master Fund and Biotech Fund I. Dr. Jia is the managing member of Octagon. By virtue of these relationships each of Octagon and Dr. Jia may be deemed to beneficially own the Issuer's Common Shares directly owned by the Master Fund and by the Biotech Fund I. Address or principal business office or, if none, residence:</w:t>
      </w:r>
    </w:p>
    <w:p>
      <w:pPr>
        <w:spacing w:after="0" w:line="206" w:lineRule="exact"/>
        <w:rPr>
          <w:rFonts w:ascii="Times New Roman" w:cs="Times New Roman" w:eastAsia="Times New Roman" w:hAnsi="Times New Roman"/>
          <w:sz w:val="43"/>
          <w:szCs w:val="43"/>
          <w:color w:val="auto"/>
          <w:vertAlign w:val="subscript"/>
        </w:rPr>
      </w:pPr>
    </w:p>
    <w:p>
      <w:pPr>
        <w:ind w:left="920" w:right="2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654 Madison Avenue, 21st Floor, New York, NY 10065.</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Octagon is a Delaware limited partnership. The Master Fund is an exempted limited partnership established in the Cayman Islands. The Biotech Fund I is a Delaware limited partnership. Dr. Jia is a Chinese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w:t>
      </w:r>
    </w:p>
    <w:p>
      <w:pPr>
        <w:sectPr>
          <w:pgSz w:w="11900" w:h="16838" w:orient="portrait"/>
          <w:cols w:equalWidth="0" w:num="1">
            <w:col w:w="11080"/>
          </w:cols>
          <w:pgMar w:left="360" w:top="126" w:right="45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1,946,667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1,946,667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620"/>
        <w:spacing w:after="0" w:line="282" w:lineRule="auto"/>
        <w:rPr>
          <w:sz w:val="20"/>
          <w:szCs w:val="20"/>
          <w:color w:val="auto"/>
        </w:rPr>
      </w:pPr>
      <w:r>
        <w:rPr>
          <w:rFonts w:ascii="Times New Roman" w:cs="Times New Roman" w:eastAsia="Times New Roman" w:hAnsi="Times New Roman"/>
          <w:sz w:val="21"/>
          <w:szCs w:val="21"/>
          <w:color w:val="auto"/>
        </w:rPr>
        <w:t>1,946,667 The percentage reported on this Schedule 13G is calculated based upon 54,448,771 Common Shares outstanding as of March 30, 2026, as reported in the Form DEF 14A filed by the Issuer on April 9, 2026.</w:t>
      </w:r>
    </w:p>
    <w:p>
      <w:pPr>
        <w:spacing w:after="0" w:line="2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22"/>
          <w:szCs w:val="22"/>
          <w:color w:val="auto"/>
        </w:rPr>
        <w:t>Octagon is the investment advisor to the Master Fund, the Biotech Fund I and other accounts. Dr. Jia is the control person of Octagon. The Master Fund holds the Common Shares for the benefit of its investors. The Biotech Fund I holds the Common Shares for the benefit of its investors. The Master Fund, the Biotech Fund I and Octagon, for the benefit of its investors, have the right to receive or the power to direct the receipt of dividends from, or the proceeds from the sale of, the Common Shares.</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2"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Octagon Capital Advisors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Octagon Investments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Octagon Investments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Octagon Biotech Opportunities Fund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Octagon Investments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Ting Jia</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Ting Jia</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2026-05-14T15:14:58Z</dcterms:created>
  <dcterms:modified xsi:type="dcterms:W3CDTF">2026-05-14T15:14:58Z</dcterms:modified>
</cp:coreProperties>
</file>