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McGeorge 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107.58</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108.38</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110.64</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111.41</w:t>
            </w:r>
            <w:r>
              <w:rPr>
                <w:rFonts w:ascii="Times;serif" w:hAnsi="Times;serif"/>
                <w:color w:val="008000"/>
                <w:position w:val="7"/>
                <w:sz w:val="16"/>
                <w:sz w:val="20"/>
                <w:shd w:fill="FFFFFF" w:val="clear"/>
              </w:rPr>
              <w:t>(6)</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06/28/2023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on May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$106.79 to $107.69,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$107.84 to $108.76,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$108.89 to $109.86,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$110.05 to $111.00,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$111.15 to $111.63, inclusive. The Reporting Person undertakes to provide to the Issuer, any security holder of the Issuer, or the staff of the SEC,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Anne McGeorge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9934"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5236</Characters>
  <CharactersWithSpaces>6083</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