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CARR EDWARD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DIANTHUS THERAPEUTICS,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 TIMES SQUARE, 43RD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Dianthus Therapeutics, Inc. /DE/</w:t>
              </w:r>
            </w:hyperlink>
            <w:r>
              <w:rPr/>
              <w:t xml:space="preserve"> [ </w:t>
            </w:r>
            <w:r>
              <w:rPr>
                <w:rFonts w:ascii="Times;serif" w:hAnsi="Times;serif"/>
                <w:color w:val="0000FF"/>
                <w:sz w:val="24"/>
                <w:shd w:fill="FFFFFF" w:val="clear"/>
              </w:rPr>
              <w:t>DNTH</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17.88</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7,928</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100.43</w:t>
            </w:r>
            <w:r>
              <w:rPr>
                <w:rFonts w:ascii="Times;serif" w:hAnsi="Times;serif"/>
                <w:color w:val="008000"/>
                <w:position w:val="7"/>
                <w:sz w:val="16"/>
                <w:sz w:val="20"/>
                <w:shd w:fill="FFFFFF" w:val="clear"/>
              </w:rPr>
              <w:t>(2)</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12,072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6,771</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101.37</w:t>
            </w:r>
            <w:r>
              <w:rPr>
                <w:rFonts w:ascii="Times;serif" w:hAnsi="Times;serif"/>
                <w:color w:val="008000"/>
                <w:position w:val="7"/>
                <w:sz w:val="16"/>
                <w:sz w:val="20"/>
                <w:shd w:fill="FFFFFF" w:val="clear"/>
              </w:rPr>
              <w:t>(3)</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5,301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3,501</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102.39</w:t>
            </w:r>
            <w:r>
              <w:rPr>
                <w:rFonts w:ascii="Times;serif" w:hAnsi="Times;serif"/>
                <w:color w:val="008000"/>
                <w:position w:val="7"/>
                <w:sz w:val="16"/>
                <w:sz w:val="20"/>
                <w:shd w:fill="FFFFFF" w:val="clear"/>
              </w:rPr>
              <w:t>(4)</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103.2</w:t>
            </w:r>
            <w:r>
              <w:rPr>
                <w:rFonts w:ascii="Times;serif" w:hAnsi="Times;serif"/>
                <w:color w:val="008000"/>
                <w:position w:val="7"/>
                <w:sz w:val="16"/>
                <w:sz w:val="20"/>
                <w:shd w:fill="FFFFFF" w:val="clear"/>
              </w:rPr>
              <w:t>(5)</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104.39</w:t>
            </w:r>
            <w:r>
              <w:rPr>
                <w:rFonts w:ascii="Times;serif" w:hAnsi="Times;serif"/>
                <w:color w:val="008000"/>
                <w:position w:val="7"/>
                <w:sz w:val="16"/>
                <w:sz w:val="20"/>
                <w:shd w:fill="FFFFFF" w:val="clear"/>
              </w:rPr>
              <w:t>(6)</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17.88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01/23/2034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43,818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was effected pursuant to a Rule 10b5-1 trading plan adopted by the Reporting Person on June 18,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above is a weighted average price. The shares were sold in multiple transactions at prices ranging from $99.98 to $100.97,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above is a weighted average price. The shares were sold in multiple transactions at prices ranging from $100.99 to $101.95,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above is a weighted average price. The shares were sold in multiple transactions at prices ranging from $101.99 to $102.95,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above is a weighted average price. The shares were sold in multiple transactions at prices ranging from $103.05 to $103.38,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above is a weighted average price. The shares were sold in multiple transactions at prices ranging from $104.17 to $104.63,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shares of common stock underlying this stock option award vest in equal monthly installments over the four years after January 1, 2024, subject to the Reporting Person's continued service to the Issuer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Adam Veness, as attorney-in-fact for Edward Carr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73351" TargetMode="External"/><Relationship Id="rId5" Type="http://schemas.openxmlformats.org/officeDocument/2006/relationships/hyperlink" Target="http://www.sec.gov/cgi-bin/browse-edgar?action=getcompany&amp;CIK=00016905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1011</Words>
  <Characters>5345</Characters>
  <CharactersWithSpaces>6230</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