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84758ds3asr.htm"/>
      <w:bookmarkStart w:id="1" w:name="ksd184758ds3asr"/>
      <w:bookmarkEnd w:id="0"/>
      <w:bookmarkEnd w:id="1"/>
      <w:r>
        <w:rPr>
          <w:rFonts w:ascii="Times New Roman" w:hAnsi="Times New Roman"/>
          <w:b/>
          <w:sz w:val="20"/>
        </w:rPr>
        <w:t xml:space="preserve">As filed with the Securities and Exchange Commission on September 18, 2026. </w:t>
      </w:r>
    </w:p>
    <w:p>
      <w:pPr>
        <w:pStyle w:val="TextBody"/>
        <w:bidi w:val="0"/>
        <w:spacing w:before="0" w:after="0"/>
        <w:jc w:val="right"/>
        <w:rPr>
          <w:rFonts w:ascii="Times New Roman" w:hAnsi="Times New Roman"/>
          <w:b/>
          <w:sz w:val="20"/>
        </w:rPr>
      </w:pPr>
      <w:r>
        <w:rPr>
          <w:rFonts w:ascii="Times New Roman" w:hAnsi="Times New Roman"/>
          <w:b/>
          <w:sz w:val="20"/>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S-3</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Dianthus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81-0724163</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7 Times Square, 43rd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10036 </w:t>
      </w:r>
    </w:p>
    <w:p>
      <w:pPr>
        <w:pStyle w:val="TextBody"/>
        <w:bidi w:val="0"/>
        <w:spacing w:before="0" w:after="0"/>
        <w:jc w:val="center"/>
        <w:rPr>
          <w:rFonts w:ascii="Times New Roman" w:hAnsi="Times New Roman"/>
          <w:b/>
          <w:sz w:val="20"/>
        </w:rPr>
      </w:pPr>
      <w:r>
        <w:rPr>
          <w:rFonts w:ascii="Times New Roman" w:hAnsi="Times New Roman"/>
          <w:b/>
          <w:sz w:val="20"/>
        </w:rPr>
        <w:t>(929) 999-4055</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Ryan Savitz </w:t>
      </w:r>
    </w:p>
    <w:p>
      <w:pPr>
        <w:pStyle w:val="TextBody"/>
        <w:bidi w:val="0"/>
        <w:spacing w:before="0" w:after="0"/>
        <w:jc w:val="center"/>
        <w:rPr>
          <w:rFonts w:ascii="Times New Roman" w:hAnsi="Times New Roman"/>
          <w:b/>
          <w:sz w:val="20"/>
        </w:rPr>
      </w:pPr>
      <w:r>
        <w:rPr>
          <w:rFonts w:ascii="Times New Roman" w:hAnsi="Times New Roman"/>
          <w:b/>
          <w:sz w:val="20"/>
        </w:rPr>
        <w:t xml:space="preserve">EVP, Chief Financial Officer and Chief Business Officer </w:t>
      </w:r>
    </w:p>
    <w:p>
      <w:pPr>
        <w:pStyle w:val="TextBody"/>
        <w:bidi w:val="0"/>
        <w:spacing w:before="0" w:after="0"/>
        <w:jc w:val="center"/>
        <w:rPr>
          <w:rFonts w:ascii="Times New Roman" w:hAnsi="Times New Roman"/>
          <w:b/>
          <w:sz w:val="20"/>
        </w:rPr>
      </w:pPr>
      <w:r>
        <w:rPr>
          <w:rFonts w:ascii="Times New Roman" w:hAnsi="Times New Roman"/>
          <w:b/>
          <w:sz w:val="20"/>
        </w:rPr>
        <w:t xml:space="preserve">Dianthus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7 Times Square, 43rd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10036 </w:t>
      </w:r>
    </w:p>
    <w:p>
      <w:pPr>
        <w:pStyle w:val="TextBody"/>
        <w:bidi w:val="0"/>
        <w:spacing w:before="0" w:after="0"/>
        <w:jc w:val="center"/>
        <w:rPr>
          <w:rFonts w:ascii="Times New Roman" w:hAnsi="Times New Roman"/>
          <w:b/>
          <w:sz w:val="20"/>
        </w:rPr>
      </w:pPr>
      <w:r>
        <w:rPr>
          <w:rFonts w:ascii="Times New Roman" w:hAnsi="Times New Roman"/>
          <w:b/>
          <w:sz w:val="20"/>
        </w:rPr>
        <w:t>(929) 999-4055</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Ryan A. Murr</w:t>
            </w:r>
          </w:p>
          <w:p>
            <w:pPr>
              <w:pStyle w:val="TableContents"/>
              <w:bidi w:val="0"/>
              <w:spacing w:before="0" w:after="0"/>
              <w:jc w:val="center"/>
              <w:rPr>
                <w:rFonts w:ascii="Times New Roman" w:hAnsi="Times New Roman"/>
                <w:b/>
                <w:sz w:val="20"/>
              </w:rPr>
            </w:pPr>
            <w:r>
              <w:rPr>
                <w:rFonts w:ascii="Times New Roman" w:hAnsi="Times New Roman"/>
                <w:b/>
                <w:sz w:val="20"/>
              </w:rPr>
              <w:t>Branden C. Berns</w:t>
            </w:r>
          </w:p>
          <w:p>
            <w:pPr>
              <w:pStyle w:val="TableContents"/>
              <w:bidi w:val="0"/>
              <w:spacing w:before="0" w:after="0"/>
              <w:jc w:val="center"/>
              <w:rPr>
                <w:rFonts w:ascii="Times New Roman" w:hAnsi="Times New Roman"/>
                <w:b/>
                <w:sz w:val="20"/>
              </w:rPr>
            </w:pPr>
            <w:r>
              <w:rPr>
                <w:rFonts w:ascii="Times New Roman" w:hAnsi="Times New Roman"/>
                <w:b/>
                <w:sz w:val="20"/>
              </w:rPr>
              <w:t>Melanie E. Neary</w:t>
            </w:r>
          </w:p>
          <w:p>
            <w:pPr>
              <w:pStyle w:val="TableContents"/>
              <w:bidi w:val="0"/>
              <w:spacing w:before="0" w:after="0"/>
              <w:jc w:val="center"/>
              <w:rPr>
                <w:rFonts w:ascii="Times New Roman" w:hAnsi="Times New Roman"/>
                <w:b/>
                <w:sz w:val="20"/>
              </w:rPr>
            </w:pPr>
            <w:r>
              <w:rPr>
                <w:rFonts w:ascii="Times New Roman" w:hAnsi="Times New Roman"/>
                <w:b/>
                <w:sz w:val="20"/>
              </w:rPr>
              <w:t>Gibson, Dunn &amp; Crutcher LLP</w:t>
            </w:r>
          </w:p>
          <w:p>
            <w:pPr>
              <w:pStyle w:val="TableContents"/>
              <w:bidi w:val="0"/>
              <w:spacing w:before="0" w:after="0"/>
              <w:jc w:val="center"/>
              <w:rPr>
                <w:rFonts w:ascii="Times New Roman" w:hAnsi="Times New Roman"/>
                <w:b/>
                <w:sz w:val="20"/>
              </w:rPr>
            </w:pPr>
            <w:r>
              <w:rPr>
                <w:rFonts w:ascii="Times New Roman" w:hAnsi="Times New Roman"/>
                <w:b/>
                <w:sz w:val="20"/>
              </w:rPr>
              <w:t>One Embarcadero Center, Suite 2600</w:t>
            </w:r>
          </w:p>
          <w:p>
            <w:pPr>
              <w:pStyle w:val="TableContents"/>
              <w:bidi w:val="0"/>
              <w:spacing w:before="0" w:after="0"/>
              <w:jc w:val="center"/>
              <w:rPr>
                <w:rFonts w:ascii="Times New Roman" w:hAnsi="Times New Roman"/>
                <w:b/>
                <w:sz w:val="20"/>
              </w:rPr>
            </w:pPr>
            <w:r>
              <w:rPr>
                <w:rFonts w:ascii="Times New Roman" w:hAnsi="Times New Roman"/>
                <w:b/>
                <w:sz w:val="20"/>
              </w:rPr>
              <w:t>San Francisco, CA 94111</w:t>
            </w:r>
          </w:p>
          <w:p>
            <w:pPr>
              <w:pStyle w:val="TableContents"/>
              <w:bidi w:val="0"/>
              <w:spacing w:before="0" w:after="20"/>
              <w:jc w:val="center"/>
              <w:rPr>
                <w:rFonts w:ascii="Times New Roman" w:hAnsi="Times New Roman"/>
                <w:b/>
                <w:sz w:val="20"/>
              </w:rPr>
            </w:pPr>
            <w:r>
              <w:rPr>
                <w:rFonts w:ascii="Times New Roman" w:hAnsi="Times New Roman"/>
                <w:b/>
                <w:sz w:val="20"/>
              </w:rPr>
              <w:t>(415) 393-8200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Adam M. Veness, Esq.</w:t>
            </w:r>
          </w:p>
          <w:p>
            <w:pPr>
              <w:pStyle w:val="TableContents"/>
              <w:bidi w:val="0"/>
              <w:spacing w:before="0" w:after="0"/>
              <w:jc w:val="center"/>
              <w:rPr>
                <w:rFonts w:ascii="Times New Roman" w:hAnsi="Times New Roman"/>
                <w:b/>
                <w:sz w:val="20"/>
              </w:rPr>
            </w:pPr>
            <w:r>
              <w:rPr>
                <w:rFonts w:ascii="Times New Roman" w:hAnsi="Times New Roman"/>
                <w:b/>
                <w:sz w:val="20"/>
              </w:rPr>
              <w:t>SVP, General Counsel and Secretary</w:t>
            </w:r>
          </w:p>
          <w:p>
            <w:pPr>
              <w:pStyle w:val="TableContents"/>
              <w:bidi w:val="0"/>
              <w:spacing w:before="0" w:after="0"/>
              <w:jc w:val="center"/>
              <w:rPr>
                <w:rFonts w:ascii="Times New Roman" w:hAnsi="Times New Roman"/>
                <w:b/>
                <w:sz w:val="20"/>
              </w:rPr>
            </w:pPr>
            <w:r>
              <w:rPr>
                <w:rFonts w:ascii="Times New Roman" w:hAnsi="Times New Roman"/>
                <w:b/>
                <w:sz w:val="20"/>
              </w:rPr>
              <w:t>Dianthus Therapeutics, Inc.</w:t>
            </w:r>
          </w:p>
          <w:p>
            <w:pPr>
              <w:pStyle w:val="TableContents"/>
              <w:bidi w:val="0"/>
              <w:spacing w:before="0" w:after="0"/>
              <w:jc w:val="center"/>
              <w:rPr>
                <w:rFonts w:ascii="Times New Roman" w:hAnsi="Times New Roman"/>
                <w:b/>
                <w:sz w:val="20"/>
              </w:rPr>
            </w:pPr>
            <w:r>
              <w:rPr>
                <w:rFonts w:ascii="Times New Roman" w:hAnsi="Times New Roman"/>
                <w:b/>
                <w:sz w:val="20"/>
              </w:rPr>
              <w:t>7 Times Square, 43rd Floor</w:t>
            </w:r>
          </w:p>
          <w:p>
            <w:pPr>
              <w:pStyle w:val="TableContents"/>
              <w:bidi w:val="0"/>
              <w:spacing w:before="0" w:after="0"/>
              <w:jc w:val="center"/>
              <w:rPr>
                <w:rFonts w:ascii="Times New Roman" w:hAnsi="Times New Roman"/>
                <w:b/>
                <w:sz w:val="20"/>
              </w:rPr>
            </w:pPr>
            <w:r>
              <w:rPr>
                <w:rFonts w:ascii="Times New Roman" w:hAnsi="Times New Roman"/>
                <w:b/>
                <w:sz w:val="20"/>
              </w:rPr>
              <w:t>New York, NY 10036</w:t>
            </w:r>
          </w:p>
          <w:p>
            <w:pPr>
              <w:pStyle w:val="TableContents"/>
              <w:bidi w:val="0"/>
              <w:spacing w:before="0" w:after="20"/>
              <w:jc w:val="center"/>
              <w:rPr>
                <w:rFonts w:ascii="Times New Roman" w:hAnsi="Times New Roman"/>
                <w:b/>
                <w:sz w:val="20"/>
              </w:rPr>
            </w:pPr>
            <w:r>
              <w:rPr>
                <w:rFonts w:ascii="Times New Roman" w:hAnsi="Times New Roman"/>
                <w:b/>
                <w:sz w:val="20"/>
              </w:rPr>
              <w:t>(929) 999-4055</w:t>
            </w:r>
          </w:p>
        </w:tc>
      </w:tr>
    </w:tbl>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this registration statement becomes effective.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06"/>
        <w:gridCol w:w="4320"/>
        <w:gridCol w:w="150"/>
        <w:gridCol w:w="2920"/>
        <w:gridCol w:w="106"/>
        <w:gridCol w:w="235"/>
      </w:tblGrid>
      <w:tr>
        <w:trPr/>
        <w:tc>
          <w:tcPr>
            <w:tcW w:w="236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Large 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Accelerated filer</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Non-accelerated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Smaller reporting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Emerging growth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us of an indeterminate amount of common stock, preferred stock, debt securities, warrants and/or units, in each case from time to time in one or more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sales agreement prospectus supplement covering the offering, issuance and sale by us of up to a maximum aggregate offering price of $500,000,000 of our common stock that may be issued and sold under a sales agreement, dated September 18, 2026 (the “Sales Agreement”), with TD Securities (USA) LLC (“TD Cowen”).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other than the shares under the Sales Agreement, will be specified in a prospectus supplement to the base prospectus. The specific terms of the securities to be issued and sold under the Sales Agreement are specified in the sales agreement prospectus supplement that immediately follows the base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751455" cy="5403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51455" cy="5403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issue, in one or more series or classes, an indeterminate amount of our common stock, preferred stock, debt securities, warrants and/or units,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the applicable prospectus supplement and any related free writing prospectus carefully, as well as any documents incorporated by reference, before you invest in any of the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Our shares of common stock are listed on The Nasdaq Capital Market under the symbol “DNTH.” The last reported sale price of our common stock on The Nasdaq Capital Market on September 17, 2026 was $101.12 per share. We recommend that you obtain current market quotations for our common stock prior to making an investment decision.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Investing in our securities involves a high degree of risk. You should review carefully the risks and uncertainties described under the heading </w:t>
      </w:r>
      <w:r>
        <w:rPr>
          <w:rFonts w:ascii="Times New Roman" w:hAnsi="Times New Roman"/>
          <w:sz w:val="24"/>
        </w:rPr>
        <w:t>“</w:t>
      </w:r>
      <w:hyperlink w:anchor="toc184758_4">
        <w:r>
          <w:rPr>
            <w:rStyle w:val="InternetLink"/>
            <w:rFonts w:ascii="Times New Roman" w:hAnsi="Times New Roman"/>
            <w:b/>
            <w:sz w:val="24"/>
          </w:rPr>
          <w:t>Risk Factors</w:t>
        </w:r>
      </w:hyperlink>
      <w:r>
        <w:rPr>
          <w:rFonts w:ascii="Times New Roman" w:hAnsi="Times New Roman"/>
          <w:b/>
          <w:sz w:val="24"/>
        </w:rPr>
        <w:t xml:space="preserve">” contained in this prospectus beginning on page 6 and any applicable prospectus supplement,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September 18,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6">
              <w:r>
                <w:rPr>
                  <w:rStyle w:val="InternetLink"/>
                  <w:rFonts w:ascii="Times New Roman" w:hAnsi="Times New Roman"/>
                  <w:sz w:val="20"/>
                </w:rPr>
                <w:t>SECURITIES WE MAY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7">
              <w:r>
                <w:rPr>
                  <w:rStyle w:val="InternetLink"/>
                  <w:rFonts w:ascii="Times New Roman" w:hAnsi="Times New Roman"/>
                  <w:sz w:val="20"/>
                </w:rPr>
                <w:t>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8">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9">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10">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11">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4758_12">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3" w:name="toc18475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U.S. Securities and Exchange Commission (the “SEC” or the “Commission”) as a “well-known seasoned issuer” as defined in Rule 405 under the Securities Act of 1933, as amended (the “Securities Act”) utilizing a “shelf” registration process. Under this shelf registration process, we may sell any combination of the securities described in this prospectus from time to time in one or more offerings.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the additional information under the headings “Where You Can Find Additional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prospectus supplement or any related free writing prospectus does not constitute an offer to sell or the solicitation of an offer to buy any securities other than the registered securities to which they relate, nor does this prospectus, any applicable prospectus supplement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we use the terms “Dianthus,” “company,” “we,” “us,” and “our” in this prospectus to refer to Dianthus Therapeutics, Inc. and, where appropriate,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toc184758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within the meaning of Section 27A of the Securities Act and Section 21E of the Securities Exchange Act of 1934, as amended (the “Exchange Act”), which statements are subject to substantial risks and uncertainties and are based on estimates and assumptions. All statements, other than statements of historical fact, included or incorporated by reference in this prospectus are forward-looking statements, including, without limitation, statements concerning our plans, objectives, goals, expectations, hopes, beliefs, intentions, assumptions, projections, estimates or strategies and any underlying assumptions regarding the future, our future results of operations and financial position, including the sufficiency of our existing cash resources to fund our operations for as long as anticipated, our liquidity, capital resources, costs and expenses, capital requirements, commitments and contingencies, the development or commercial potential of claseprubart, DNTH212, or any other product candidate, our anticipated preclinical and clinical drug development activities, in particular with respect to claseprubart and DNTH212, and any timelines, developments or results in connection therewith, including the timing of data, the efficacy, safety profile, dosing amount or frequency, method of delivery or other potential therapeutic benefits of claseprubart and DNTH212, the receipt or timing of potential regulatory designations, approvals and commercialization of any product candidates, market size or addressable patient population and other statements, including those included under the section titled “Risk Factors” and elsewhere in this prospectus. In some cases, you can identify forward-looking statements by terms such as “aim,” “may,” “might,” “will,” “would,” “shall,” “objective,” “intend,” “target,” “should,” “could,” “can,” “expect,” “anticipate,” “believe,” “design,” “estimate,” “forecast,” “predict,” “project,” “potential,” “possible,” “plan,” “seek,” “contemplate,” “goal,” “likely” or “continue” or the negative of these terms and similar expressions intended to identify forward-looking statements, but the absence of these terms does not mean that a statement is not forward-looking. Forward-looking statements are not historical facts and are based on our current expectations and beliefs with respect to future events and their potential effects and impacts. There can be no assurance that future events affecting us will be those that have been anticipated. Given the significant risks and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There are a number of risks, uncertainties and other factors that could cause our actual results or outcomes, or the timing of our results or outcomes, to differ materially from the forward-looking statements expressed or implied in this prospectus. Such risks, uncertainties and other factors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our management for future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ability to manage expenses and unanticipated spending and costs that could reduce our cash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ability to correctly estimate our operating expenses and other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capital resource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protect our intellectual property rights, in particular those related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the development of claseprubart, DNTH212, and our other potential product candidates or preclinical activities under the timelines we anticipate in planned and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replicate in later clinical trials positive results found in preclinical studies and early-stage clinical trials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anticipated benefits of our current or future research and development programs, strategic partnerships, licensing programs or other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or developments, and our ability to obtain necessary approvals from the U.S. Food and Drug Administration (the “FDA”) or other regulatory authorities;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product candidates in conformity with the FDA’s or other regulatory authorities’ requirements and to scale up manufacturing of our product candidates to commercial scale,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clinical trial designs and regulatory pathways;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expected or existing competitors or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geopolitical and macroeconomic developments beyond our control, including inflationary pressures, general economic slowdown or a recession, high interest rates, changes in monetary policy or foreign currency exchange rates, changes in trade policies including tariffs and other trade restrictions or the threat of such actions, instability in financial institutions, the impact of a prolonged shutdown of the U.S. federal government, the ongoing conflict in Ukraine, conflicts in the Middle East and rising tensions between China and Taiwan, the attacks on marine vessels traversing the Red Sea and the responses thereto, and supply chain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recruiting or changes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and trading of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our product candidates or our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develop and commercialize any technology that we have in-licensed or may in-license or products we have acquired or may acquire;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operate in non-U.S. jurisdictions in which we may choose to do business, including compliance with applicable regulatory requirements and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third-party contract development and manufacturer organizations to manufacture and supply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satisfactory pricing and obtain adequate reimbursement from government and third-party payors of our products and product candidates that receive regulatory approvals,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if approved, and the rate and degree of market acceptance of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ability to obtain additional financing and raise capital as necessary to fund operations or pursue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continue to grow and manage our growth effectively;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comply with, and the effect on our business of, evolving legal standards and regulations, including those concerning data protection, consumer privacy and sustainability and evolving labor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other factors that may cause our actual results or outcomes, or the timing of those results or outcomes, to differ materially from the forward-looking statements expressed or implied in this prospectus, including factors identified in this prospectus under the heading “Risk Factors” and in the applicable prospectus supplement and under similar headings in the other documents incorporated by reference into this prospectus. You should evaluate all forward-looking statements made in this prospectus and any prospectus supplement and in the other documents incorporated by reference into this prospectus in the context of these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We caution you that the risks, uncertainties and other factors referred to above and elsewhere in this prospectus may not contain all of the risks, uncertainties and other factors that may affect our future results, operations and outcomes. Moreover, new risks emerge from time to time. It is not possible for us to predict all risks. In addition, we cannot assure you that we will realize the results, benefits or developments that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anticipate or, even if substantially realized, that they will result in the consequences or affect us or our business in the way expected. Past performance is not indicative of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contained or incorporated by reference in this prospectus apply only as of the date made and are expressly qualified in their entirety by the cautionary statements included in this prospectus. Except as required by law, we disclaim any intent to publicly update or revise any forward-looking statements, whether as a result of new information, future events, changes in assumptions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toc184758_3"/>
      <w:bookmarkEnd w:id="5"/>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dedicated to developing potentially best-in-disease therapies for patients living with severe autoimmune diseases. Our lead clinical-stage candidate, claseprubart, is a monoclonal antibody that is purposefully engineered with extended half-life, improved potency, and high selectivity for only the active C1s complement protein – enabling less frequent and more convenient self-administered subcutaneous (“S.C.”) injections suitable for a pre-filled pen. Additionally, selective inhibition of the classical complement pathway may lower patient risk of infection from encapsulated bacteria by preserving immune activity of the lectin and alternative pathways. We believe claseprubart has the potential to address a broad array of complement-dependent diseases as currently available therapies and those in development leave room for improvements in efficacy, safety, and/or dosing convenience.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second clinical-stage candidate, DNTH212, is a first-in-class and potentially best-in-disease, bifunctional fusion protein that targets plasmacytoid dendritic cell BDCA2 to reduce Type 1 interferon production, while simultaneously inhibiting BAFF/APRIL to suppress B cell function. By targeting both the innate and adaptive immune systems via two clinically validated pathways that are known drivers of autoimmune disease pathogenesis, this complementary and differentiated approach has the potential to address multiple autoimmune indications with improved outcomes. DNTH212 is also designed with the potential for patient-friendly convenient, infrequent, self-administered S.C. injections suitable for a pre-filled pen.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development candidate, DNTH312, is an internally developed, investigational, first-in-class, next-generation bifunctional fusion protein combining claseprubart and TACI to target potent inhibition of active C1s and BAFF/APRIL. DNTH312 is enhanced with YTE half-life extension technology, similar to claseprubart. By targeting two validated pathways with complementary disease modifying mechanisms, DNTH312 is designed to expand our leadership position in autoimmune diseases with potential for best-in-disease efficacy by targeting deeper responses and broader symptom control, while also addressing larger patient populations.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7 Times Square, 43rd Floor, New York, New York 10036, and our telephone number is (929) 999-4055. Our website address is </w:t>
      </w:r>
      <w:r>
        <w:rPr>
          <w:rFonts w:ascii="Times New Roman" w:hAnsi="Times New Roman"/>
          <w:i/>
          <w:sz w:val="20"/>
          <w:bdr w:val="single" w:sz="8" w:space="1" w:color="000000"/>
        </w:rPr>
        <w:t>www.dianthustx.com</w:t>
      </w:r>
      <w:r>
        <w:rPr>
          <w:rFonts w:ascii="Times New Roman" w:hAnsi="Times New Roman"/>
          <w:sz w:val="20"/>
          <w:bdr w:val="single" w:sz="8" w:space="1" w:color="000000"/>
        </w:rPr>
        <w:t xml:space="preserve">. Information contained on, or accessible through, our website is not incorporated by reference in this prospectus. We have included our website in this prospectus solely as an inactive textual reference. We make our periodic and current reports available on our website, free of charge, as soon as reasonably practicable after such material is electronically filed with, or furnished to, the SEC. We file our annual, quarterly and special reports, proxy statements and other information with the SEC. Our filings with the SEC are also available to the public on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Our common stock is traded on The Nasdaq Capital Market under the symbol “DNTH.”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oc184758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risks, uncertainties and other factors contained in our risk factors incorporated by reference to our Annual Report on Form 10-K for the fiscal year ended December 31, 2025, as updated by our subsequent filings, and discussed under the heading “Risk Factors” in the applicable prospectus supplement, together with all other information contained or incorporated by reference in this prospectus or the applicable prospectus supplement. Our business, financial condition, results of operations and future growth prospects could be materially and adversely affected by any of these risks. In these circumstances, the market price of our common stock could decline, and you may lose all or part of your investment. In addition, the risks, uncertainties and other factors we have described are not the only ones we face. Additional risks and uncertainties not presently known to us or that we currently deem immaterial may also affect our business, financial condition, results of operations and future growth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toc18475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to further our preclinical and clinical development activities, as well as for working capital and general corporate purposes. We may also use a portion of the proceeds to license, acquire or invest in new product candidates or for drug development activities related to such product candidates, however, we have no current commitments to do so. Our expected use of proceeds from the sale of the securities offered hereby represents our current intentions based on our present plans and business conditions, which could change in the future as our plans and business conditions evolve. As of the date of this prospectus, we cannot predict with certainty all of the particular uses for the proceeds to be received from the sale of the securities offered hereby or the amounts that we will actually spend on the uses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the net proceeds, we may invest the proceeds in a variety of capital preservation investments, including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oc184758_6"/>
      <w:bookmarkEnd w:id="8"/>
      <w:r>
        <w:rPr>
          <w:rFonts w:ascii="Times New Roman" w:hAnsi="Times New Roman"/>
          <w:b/>
          <w:sz w:val="20"/>
        </w:rPr>
        <w:t xml:space="preserve">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oc184758_7"/>
      <w:bookmarkEnd w:id="9"/>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our capital stock and does not purport to be complete and is subject to, and qualified in its entirety by, our fifth amended and restated certificate of incorporation (“charter”) and our third amended and restated bylaws (“bylaws”), each of which is incorporated herein by reference. You should refer to our charter and our bylaws for the actual terms of our capital stock. Copies of our charter and bylaws are incorporated by reference as exhibits to the registration statement of which this prospectus forms a part and may be obtained as described under the heading “Where You Can Find Additional Information”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150,000,000 shares of common stock, par value $0.001 per share (“common stock”), and 10,000,000 shares of undesignated preferred stock, par value $0.001 per share (“preferred stock”). As of June 30, 2026, 54,798,338 shares of our common stock were issued and outstanding, and no shares of our preferred stock were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entitled to receive dividends ratably, if any, as may be declared by our board of directors out of legally available funds, subject to any preferential dividend rights of any preferred stock then outstanding. </w:t>
      </w:r>
    </w:p>
    <w:p>
      <w:pPr>
        <w:pStyle w:val="TextBody"/>
        <w:bidi w:val="0"/>
        <w:spacing w:before="360" w:after="0"/>
        <w:jc w:val="left"/>
        <w:rPr>
          <w:rFonts w:ascii="Times New Roman" w:hAnsi="Times New Roman"/>
          <w:i/>
          <w:sz w:val="20"/>
        </w:rPr>
      </w:pPr>
      <w:r>
        <w:rPr>
          <w:rFonts w:ascii="Times New Roman" w:hAnsi="Times New Roman"/>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entitled to one vote for each share of common stock held of record for the election of directors of Dianthus and on all matters submitted to a vote of the stockholders. The holders of common stock do not have any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dissolution, liquidation or winding up, holders of common stock are entitled to share ratably in our net assets legally available after the payment of all our debts and other liabilities, subject to the preferential rights of any preferred stock then outstanding.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not entitled to preemptive, subscription, redemption or conversion rights, and no sinking fund provisions are applicable to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Provisions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General Corporation Law of Delaware (the “DGCL”) and of our charter and bylaws could have the effect of delaying, deferring or discouraging another party from acquiring control of Dianthus.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Dianthus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hold that the advantages gained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or by any direct or indirect majority-owned subsidiary of the corporation of any stock of the corporation or any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or any direct or indirect majority-owned subsidiary.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an alternative forum, the Court of Chancery of the State of Delaware shall be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against us or any of our current or former directors, officers, employees or stockholders arising pursuant to any provision of the DGCL, our charter or our bylaws, or (iv) any action asserting a claim that is governed by the internal affairs doctrine, in each case subject to the Court of Chancery having personal jurisdiction over the indispensable parties named as defendants therein, which we refer to herein as the “Delaware Forum Provision.” The Delaware Forum Provision will not apply to any causes of action arising under the Securities Act or the Exchange Act. Our bylaws further provide that, unless we consent in writing to an alternative forum, the federal district courts of the United States shall be the exclusive forum for the resolution of any complaint asserting a cause of action arising under the Securities Act, which we refer to herein as the “Federal Forum Provision.” In addition, our bylaws provide that any person or entity purchasing or otherwise acquiring any interest in shares of our capital stock is deemed to have notice of and consented to the foregoing Delaware Forum Provision and Federal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We recognize that the Delaware Forum Provision and the Federal Forum Provision may impose additional litigation costs on stockholders in pursuing any such claims, particularly if the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or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our charter, our board of directors is divided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the remaining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all stockholder actions are required to be taken by a vote of the stockholders at an annual or special meeting, and that stockholders may not take any action by written consent in lieu of a meeting. This requirement may lengthen the amount of time required to take stockholder actions and would prevent the amendment of our bylaws or removal of directors by our stockholders without holding a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our bylaws provide that only a majority of the members of our board of directors then in office may call special meetings of stockholders and only those matters set forth in the notice of the special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to Our Charter and Our Bylaws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the DGCL, any amendment of our charter must first be approved by a majority of our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the amendment of our bylaws and the amendment of our charter must be approved by not less than two-thirds of the outstanding shares entitled to vote on the amendment, and not less than two-thirds of the outstanding shares of each class entitled to vote thereon as a class. </w:t>
      </w:r>
    </w:p>
    <w:p>
      <w:pPr>
        <w:pStyle w:val="TextBody"/>
        <w:bidi w:val="0"/>
        <w:spacing w:before="240" w:after="0"/>
        <w:jc w:val="left"/>
        <w:rPr>
          <w:rFonts w:ascii="Times New Roman" w:hAnsi="Times New Roman"/>
          <w:sz w:val="20"/>
        </w:rPr>
      </w:pPr>
      <w:r>
        <w:rPr>
          <w:rFonts w:ascii="Times New Roman" w:hAnsi="Times New Roman"/>
          <w:sz w:val="20"/>
        </w:rPr>
        <w:t xml:space="preserve">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10,000,000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Nasdaq Capital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Capital Market under the symbol “DNTH.”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The transfer agent and registrar for our common stock is Computershare Trust Company, N.A. The transfer agent and registrar’s address is 150 Royall Street, Canton, Massachusetts 02021, and its telephone number is (800) 962-4284.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holders of our common stock are entitled to rights with respect to the registration of such securities as set forth below under the Securities Act. </w:t>
      </w:r>
    </w:p>
    <w:p>
      <w:pPr>
        <w:pStyle w:val="TextBody"/>
        <w:bidi w:val="0"/>
        <w:spacing w:before="360" w:after="0"/>
        <w:jc w:val="left"/>
        <w:rPr>
          <w:rFonts w:ascii="Times New Roman" w:hAnsi="Times New Roman"/>
          <w:i/>
          <w:sz w:val="20"/>
        </w:rPr>
      </w:pPr>
      <w:r>
        <w:rPr>
          <w:rFonts w:ascii="Times New Roman" w:hAnsi="Times New Roman"/>
          <w:i/>
          <w:sz w:val="20"/>
        </w:rPr>
        <w:t xml:space="preserve">2023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that certain registration rights agreement, dated September 11, 2023 (the “2023 Registration Rights Agreement”), the company agreed to prepare and file a shelf registration statement covering the resale of the common stock within 45 days of the date of the 2023 Registration Rights Agreement pursuant to Rule 415 of the Securities Act, and to use its reasonable best efforts to keep such registration statement continuously effective under the Securities Act until the earlier of (a)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and (b) five years after the date of the 2023 Registration Rights Agreement. The 2023 Registration Rights Agreement also provides that the company pay certain expenses of the securityholders and indemnify the applicable securityholders against certain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2024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that certain registration rights agreement, dated January 22, 2024 (the “2024 Registration Rights Agreement”), the company agreed to prepare and file a registration statement with the SEC no later than the second business day following the later of (i) the filing date of the company’s Annual Report on Form 10-K for its fiscal year ending December 31, 2023 and (ii) the effectiveness date of the company’s registration statement on Form S-1 (File No. 333-274863), and to use its commercially reasonable efforts to have the registration statement declared effective within 30 days thereafter, subject to certain exceptions and specified penalties if timely effectiveness is not achieved.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agreed to, among other things, indemnify the applicable securityholders named in the 2024 Registration Rights Agreement, their officers, directors, agents, partners, members, managers, stockholders, affiliates, investment advisers and employees under the registration statement from certain liabilities and pay all fees and expenses (excluding any legal fees of the selling holder(s), and any underwriting discounts and selling commissions) incident to the company’s obligations under the 2024 Registration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our board of directors is authorized, without further action by the stockholders, to designate and issue up to an aggregate of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Our board of directors may authorize the issuance of preferred stock with voting or conversion rights that could adversely affect the voting power or other rights of the holders of common stock and the likelihood that such holders will receive dividend payments and payments upon our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in one or more series and determine the number of shares in the series and its rights, preferences, privileges and restrictions is to eliminate delays associated with a stockholder vote on specific issuances. The issuance of preferred stock, while providing flexibility in connection with possible future financings and acquisitions and other corporate purposes could, under certain circumstances, have the effect of delaying, deferring or preventing a change in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fix the designations, voting powers, preferences and rights of the preferred stock of each series we issue, as well as the qualifications, limitations or restrictions thereof, in the certificate of designation relating to that series. We will describe the terms of the series of preferred stock being offered,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the conversion rate or conversion price, or how they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the exchange rate or exchange price, or how they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the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We have included the form of the indenture as an exhibit to our registration statement of which this prospectus is a part, and it is incorporated into this prospectus by reference.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Additional Information” in this prospectus to find out how you can obtain a copy of those documents. References below to an “indenture” are references to the indenture, as supplemented, under which a particular series of debt securities is issued. As used under this caption, the term “debt securities” includes the debt securities being offered by this prospectus and all other debt securities issued by us under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allows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require us to issue all of the debt securities of a series at the same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allows us to reopen a series to issue additional debt securities without the consent of the holders of the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for each offering of debt securities will provide the following terms,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they are senior, senior subordinated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being offered and any limit on their aggregate principal amount, and, if the series is to be issued at a discount from its face amount, the method of computing the accretion of such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and, if other than the full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convertible, the terms on which such debt securities are convertible, including the initial conversion price or rate or the method of calculation, how and when the conversion price or exchange ratio may be adjusted, whether conversion or exchange is mandatory, at the option of the holder or at our option, the conversion or exchange period, and any other provision in relation thereto, and any applicable limitations on the ownership or transferability of common stock or preferred stock received on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on which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or variable interest rate or rates of the debt securities, or the method by which the interest rate or rates is determined;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dates for interest payment dates, or the method by which we will determine those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persons to whom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collateral securing the performance of our obligations under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premium, if any,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debt securities may be surrendered for registration of transfer or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notices or demands to or upon us in respect of the debt securities and the applicable indenture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regarding our right to redeem or purchase debt securities or the right of holders to require us to redeem or purchase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 or obligation we have to redeem, repay or purchase the debt securities pursuant to any sinking fund or analogous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any composite currency) in which the debt securities are denominated and payable if other than U.S. dollars, and the currency or currencies (including any composite currency) in which principal, premium, if any, and interest, if any, will be payable, and if such payments may be made in a currency other than that in which the debt securities are denominated, the manner for determining such payments, including the time and manner of determining the exchange rate between the currency in which such securities are denominated and the currency in which such securities or any of them may be paid, and any additions to, modifications of or deletions from the terms of the debt securities to provide for or to facilitate the issuance of debt securities denominated or payable in a currency other than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of, premium, if any, or interest on, the debt securities may be determined according to an index, formula or other method and how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in registered form, bearer form or both, and the terms of these 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whole or in part in the form of a global security and, if applicable, the identity of the depositary for such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electronic issuance of the debt securities or issuance of the debt securities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debt securities of such series may be defeased or discharged, if different from the provisions set forth in the indenture for the series to which the supplemental indenture or authorizing resolution relates;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of securities upon the occurrence of such events as specified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deletions from, modifications of, or additions to our events of default or covenants or other provisions set forth in the indenture for the series to which the supplemental indenture or authorizing resolution relates;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which may be different from the terms set forth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U.S. federal income tax consequences and other relevant considerations applicable to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Neither the DGCL nor our governing instruments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interest on any debt security of such series when the same becomes due and payable and the continuance of any such failure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or premium of any debt security of such series when the same becomes due and payable at maturity, upon acceleration,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or the failure of any restricted subsidiary to comply with any of its agreements or covenants in, or provisions of, the debt securities of such series or the indenture (as they relate thereto) and such failure continues for a period of 60 days after our receipt of notice of the default from the trustee or from the holders of at least 25 percent in aggregate principal amount of the then outstanding debt securities of that series (except in the case of a default with respect to the provisions of the indenture regarding the consolidation, merger, sale, lease, conveyance or other disposition of all or substantially all of the assets of us (or any other provision specified in the applicable supplemental indenture or authorizing resolution), which will constitute an event of default with notice but without passage of time);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occur with respect to Dianthus or any restricted subsidiary of Dianthus that is a significant subsidiary (as defined in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with respect to debt securities of any series outstanding, then the trustee or the holders of 25% or more in principal amount of the outstanding debt securities of that series will have the right to declare the principal amount of all the debt securities of that series to be due and payable immediately. However, the holders of at least a majority in principal amount of outstanding debt securities of such series may rescind and annul such declaration and its consequences, except an acceleration due to nonpayment of principal or interest on such series, if the rescission would not conflict with any judgment or decree and if all existing events of default with respect to such series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also provides that the holders of at least a majority in principal amount of the outstanding debt securities of any series, by notice to the trustee, may, on behalf of all holders, waive any existing default and its consequences with respect to such series of debt securities, other than any event of default in payment of principal or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will require the trustee to give notice to the holders of debt securities within 90 days after the trustee obtains knowledge of a default that has occurred and is continuing. However, the trustee may withhold notice to the holders of any series of debt securities of any default, except a default in payment of principal or interest, if any, with respect to such series of debt securities, if the trustee considers it in the interest of the holders of such series of debt securities to do so.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Without notice to or the consent of any holder, we and the trustee may amend or supplement the indenture or the debt securities of a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of the indenture regarding the consolidation, merger, sale, lease, conveyance or other disposition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that specific provisions of the indenture shall not apply to a series of debt securities not previously issued or to make a change to specific provisions of the indenture that only applies to any series of debt securities not previously issued or to additional debt securities of a series not previously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create a series and establish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release a guarantor in respect of any series which, in accordance with the terms of the indenture applicable to such series, ceases to be liable in respect of its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subsidiary in respect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Dianthus for the benefit of the holders or surrender any right or power conferred upon Dianthus;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appoint a successor trustee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provisions of the indenture to the final offering document in respect of any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and the trustee may amend or supplement any provision of the debt securities of a series or of the indenture relating to such series with the written consent of the holders of at least a majority in principal amount of the outstanding debt securities of such series. However, without the consent of each holder of a debt security the terms of which are directly amended, supplemented or waived, an amendment, supplement or waiver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of such series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defaulted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extend the fixed maturity of any debt security or alter the provisions with respect to redemptions or mandatory offers to repurchase debt securities of a series in a manner adverse to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any right of a holder to convert or exchange any debt security into or for shares of our common stock or other securities, cash or other property in accordance with the terms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ranking or priority of the debt securities of the relevant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 any guarantor of any series from any of its obligations under its guarantee or the indenture otherwise than in accordance with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any provision of the indenture relating to the waiver of existing defaults, the rights of holders to receive payment of principal and interest on the debt securities, or to the provisions regarding amending or supplementing the indenture or the debt securities of a particular series with the written consent of the holders of such series, except to increase the percentage required for modification or waiver or to provide for consent of each affected holder of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continuing default or event of default in the payment of principal of or interest on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debt security payable at a place or in money other than that stated in the debt security, or impair the right of any holder of a debt security to bring suit as permitted by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such series may, on behalf of all holders of debt securities of that series, waive any existing default under, or compliance with, any provision of the debt securities of a particular series or of the indenture relating to a particular series of debt securities, other than any event of default in payment of interest or principal.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permit us to terminate all our respective obligations under the indenture as they relate to any particular series of debt securities, other than the obligation to pay interest, if any, on and the principal of the debt securities of such series and certain other obligations, at any time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in trust with the trustee, under an irrevocable trust agreement, money or government obligations in an amount sufficient to pay principal of and interest, if any, on the debt securities of such series to their maturity or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other conditions, including delivery to the trustee of an opinion of counsel to the effect that holders will not recognize income, gain or loss for federal income tax purposes as a result of our exercise of such right and will be subject to federal income tax on the same amount and in the same manner and at the same times as would have been the case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also permit us to terminate all of our respective obligations under the indenture as they relate to any particular series of debt securities, including the obligations to pay interest, if any, on and the principal of the debt securities of such series and certain other obligations, at any time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in trust with the trustee, under an irrevocable trust agreement, money or government obligations in an amount sufficient to pay principal and interest, if any, on the debt securities of such series to their maturity or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will permit us to terminate substantially all our respective obligations under the indenture as they relate to a particular series of debt securities by depositing with the trustee money or government obligations sufficient to pay all principal and interest on such series at its maturity or redemption date if the debt securities of such series will become due and payable at maturity within one year or are to be called for redemption within one year of the deposit.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Recourse Against Others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there is no recourse under any obligation, covenant or agreement in the applicable indenture or with respect to any debt security against any of our or our successor’s past, present or future stockholders, employees, officers or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laws of the State of New York will govern the indenture and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from time to time. We may issue warrants independently or together with common stock, preferred stock and/or debt securities, and the warrants may be attached to or separate from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issue warrants, they will be evidenced by warrant agreements or warrant certificates issued under one or more warrant agreements, which are contracts between us and an agent for the holders of the warrants. We urge you to read the prospectus supplement related to any series of warrants we may offer, as well as the complete warrant agreement and warrant certificate that contain the terms of the warrants. If we issue warrants, forms of warrant agreements and warrant certificates relating to warrants for the purchase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stock and debt securities will be incorporated by reference into the registration statement of which this prospectus is a part from reports we would subsequently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Units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oc184758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Capital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otherwise than on The Nasdaq Capital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 the 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offer, other than our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oc184758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2" w:name="toc184758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Dianthus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oc184758_11"/>
      <w:bookmarkEnd w:id="13"/>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This prospectus omits some information contained in the registration statement in accordance with SEC rules and regulations. You should review the information and exhibits in the registration statement for further information about us and our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oc184758_12"/>
      <w:bookmarkEnd w:id="1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on or after the date hereof with the SEC will automatically update and supersede the information already incorporated by reference. We are incorporating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2025 filed with the SEC on </w:t>
            </w:r>
            <w:hyperlink r:id="rId3">
              <w:r>
                <w:rPr>
                  <w:rStyle w:val="InternetLink"/>
                  <w:rFonts w:ascii="Times New Roman" w:hAnsi="Times New Roman"/>
                  <w:sz w:val="20"/>
                </w:rPr>
                <w:t>March 9, 2026</w:t>
              </w:r>
            </w:hyperlink>
            <w:r>
              <w:rPr>
                <w:rFonts w:ascii="Times New Roman" w:hAnsi="Times New Roman"/>
                <w:sz w:val="20"/>
              </w:rPr>
              <w:t xml:space="preserve"> (and any portions of our Definitive Proxy Statement on Schedule 14A filed on </w:t>
            </w:r>
            <w:hyperlink r:id="rId4">
              <w:r>
                <w:rPr>
                  <w:rStyle w:val="InternetLink"/>
                  <w:rFonts w:ascii="Times New Roman" w:hAnsi="Times New Roman"/>
                  <w:sz w:val="20"/>
                </w:rPr>
                <w:t>April 9, 2026</w:t>
              </w:r>
            </w:hyperlink>
            <w:r>
              <w:rPr>
                <w:rFonts w:ascii="Times New Roman" w:hAnsi="Times New Roman"/>
                <w:sz w:val="20"/>
              </w:rPr>
              <w:t xml:space="preserve"> that are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2026 filed with the SEC on </w:t>
            </w:r>
            <w:hyperlink r:id="rId5">
              <w:r>
                <w:rPr>
                  <w:rStyle w:val="InternetLink"/>
                  <w:rFonts w:ascii="Times New Roman" w:hAnsi="Times New Roman"/>
                  <w:sz w:val="20"/>
                </w:rPr>
                <w:t>May 5, 2026</w:t>
              </w:r>
            </w:hyperlink>
            <w:r>
              <w:rPr>
                <w:rFonts w:ascii="Times New Roman" w:hAnsi="Times New Roman"/>
                <w:sz w:val="20"/>
              </w:rPr>
              <w:t xml:space="preserve"> and for the quarter ended June 30, 2026 filed with the SEC on </w:t>
            </w:r>
            <w:hyperlink r:id="rId6">
              <w:r>
                <w:rPr>
                  <w:rStyle w:val="InternetLink"/>
                  <w:rFonts w:ascii="Times New Roman" w:hAnsi="Times New Roman"/>
                  <w:sz w:val="20"/>
                </w:rPr>
                <w:t>August 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7">
              <w:r>
                <w:rPr>
                  <w:rStyle w:val="InternetLink"/>
                  <w:rFonts w:ascii="Times New Roman" w:hAnsi="Times New Roman"/>
                  <w:sz w:val="20"/>
                </w:rPr>
                <w:t>March 9, 2026</w:t>
              </w:r>
            </w:hyperlink>
            <w:r>
              <w:rPr>
                <w:rFonts w:ascii="Times New Roman" w:hAnsi="Times New Roman"/>
                <w:sz w:val="20"/>
              </w:rPr>
              <w:t xml:space="preserve"> (except for the information furnished under Items 2.02 and 7.01 therein and Exhibits 99.1 and 99.2 thereto), </w:t>
            </w:r>
            <w:hyperlink r:id="rId8">
              <w:r>
                <w:rPr>
                  <w:rStyle w:val="InternetLink"/>
                  <w:rFonts w:ascii="Times New Roman" w:hAnsi="Times New Roman"/>
                  <w:sz w:val="20"/>
                </w:rPr>
                <w:t>March  12, 2026</w:t>
              </w:r>
            </w:hyperlink>
            <w:r>
              <w:rPr>
                <w:rFonts w:ascii="Times New Roman" w:hAnsi="Times New Roman"/>
                <w:sz w:val="20"/>
              </w:rPr>
              <w:t xml:space="preserve">, </w:t>
            </w:r>
            <w:hyperlink r:id="rId9">
              <w:r>
                <w:rPr>
                  <w:rStyle w:val="InternetLink"/>
                  <w:rFonts w:ascii="Times New Roman" w:hAnsi="Times New Roman"/>
                  <w:sz w:val="20"/>
                </w:rPr>
                <w:t>March  26, 2026</w:t>
              </w:r>
            </w:hyperlink>
            <w:r>
              <w:rPr>
                <w:rFonts w:ascii="Times New Roman" w:hAnsi="Times New Roman"/>
                <w:sz w:val="20"/>
              </w:rPr>
              <w:t xml:space="preserve">, </w:t>
            </w:r>
            <w:hyperlink r:id="rId10">
              <w:r>
                <w:rPr>
                  <w:rStyle w:val="InternetLink"/>
                  <w:rFonts w:ascii="Times New Roman" w:hAnsi="Times New Roman"/>
                  <w:sz w:val="20"/>
                </w:rPr>
                <w:t>May  22, 2026</w:t>
              </w:r>
            </w:hyperlink>
            <w:r>
              <w:rPr>
                <w:rFonts w:ascii="Times New Roman" w:hAnsi="Times New Roman"/>
                <w:sz w:val="20"/>
              </w:rPr>
              <w:t xml:space="preserve"> and </w:t>
            </w:r>
            <w:hyperlink r:id="rId11">
              <w:r>
                <w:rPr>
                  <w:rStyle w:val="InternetLink"/>
                  <w:rFonts w:ascii="Times New Roman" w:hAnsi="Times New Roman"/>
                  <w:sz w:val="20"/>
                </w:rPr>
                <w:t>June 12,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Exhibit 4.5 to our Annual Report on Form 10-K for the year ended December  31, 2023, as filed with the SEC on </w:t>
            </w:r>
            <w:hyperlink r:id="rId12">
              <w:r>
                <w:rPr>
                  <w:rStyle w:val="InternetLink"/>
                  <w:rFonts w:ascii="Times New Roman" w:hAnsi="Times New Roman"/>
                  <w:sz w:val="20"/>
                </w:rPr>
                <w:t>March 21, 2024</w:t>
              </w:r>
            </w:hyperlink>
            <w:r>
              <w:rPr>
                <w:rFonts w:ascii="Times New Roman" w:hAnsi="Times New Roman"/>
                <w:sz w:val="20"/>
              </w:rPr>
              <w:t xml:space="preserve">, including any amendments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we file with the SEC pursuant to Sections 13(a), 13(c), 14 or 15(d) of the Exchange Act after the date of the initial registration statement that contains this prospectus and prior to effectiveness of the registration statement and following the effectiveness of the registration statement until the offering of the securities under the registration statement is terminated or completed shall be deemed incorporated by reference in this prospectus and to be a part of this prospectus from the date of filing of those documents, with the exception of any portion of any report or document that is not deemed “filed” under such provisions on or after the date of this prospectus, until the earlier of the date on which: (1) all of the securities registered hereunder have been sold; or (2) the registration statement of which this prospectus is a part has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Under no circumstances will any information furnished under items 2.02 or 7.01 of Form 8-K be deemed incorporated herein by reference unless such Form 8-K expressly provides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Upon written or oral request, we will provide without charge to each person to whom a copy of the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authorized no 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 </w:t>
      </w:r>
    </w:p>
    <w:p>
      <w:pPr>
        <w:pStyle w:val="TextBody"/>
        <w:bidi w:val="0"/>
        <w:spacing w:before="240" w:after="0"/>
        <w:jc w:val="center"/>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7 Times Square, 43rd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center"/>
        <w:rPr>
          <w:rFonts w:ascii="Times New Roman" w:hAnsi="Times New Roman"/>
          <w:sz w:val="20"/>
        </w:rPr>
      </w:pPr>
      <w:r>
        <w:rPr>
          <w:rFonts w:ascii="Times New Roman" w:hAnsi="Times New Roman"/>
          <w:sz w:val="20"/>
        </w:rPr>
        <w:t>(929) 999-4055</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240" w:after="0"/>
        <w:jc w:val="center"/>
        <w:rPr>
          <w:rFonts w:ascii="Times New Roman" w:hAnsi="Times New Roman"/>
          <w:b/>
          <w:sz w:val="32"/>
        </w:rPr>
      </w:pPr>
      <w:r>
        <w:rPr>
          <w:rFonts w:ascii="Times New Roman" w:hAnsi="Times New Roman"/>
          <w:b/>
          <w:sz w:val="32"/>
        </w:rPr>
        <w:t xml:space="preserve">$500,000,000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51455" cy="5403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751455" cy="5403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Dianthus Therapeutics,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(the “Sales Agreement”) with TD Securities (USA) LLC (“TD Cowen”), relating to shares of our common stock, par value $0.001 per share (“common stock”), offered by this prospectus supplement and the accompanying prospectus. In accordance with the terms of the Sales Agreement, we may offer and sell shares of our common stock having an aggregate offering price of up to $500,000,000 from time to time through or to TD Cowen acting as our sales agent.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Capital Market (“Nasdaq”) under the symbol “DNTH.” The last reported sale price of our common stock on Nasdaq on September 17, 2026 was $101.12. </w:t>
      </w:r>
    </w:p>
    <w:p>
      <w:pPr>
        <w:pStyle w:val="TextBody"/>
        <w:bidi w:val="0"/>
        <w:spacing w:before="240" w:after="0"/>
        <w:jc w:val="left"/>
        <w:rPr>
          <w:rFonts w:ascii="Times New Roman" w:hAnsi="Times New Roman"/>
          <w:sz w:val="20"/>
        </w:rPr>
      </w:pPr>
      <w:r>
        <w:rPr>
          <w:rFonts w:ascii="Times New Roman" w:hAnsi="Times New Roman"/>
          <w:sz w:val="20"/>
        </w:rPr>
        <w:t xml:space="preserve">Sales of shares of our common stock, if any, under this prospectus will be made in negotiated transactions, including block trades or block sales, or by any method permitted by law deemed to be an “at the market offering” as defined in Rule 415(a)(4) under the Securities Act of 1933, as amended (the “Securities Act”), including, without limitation, sales made through Nasdaq, or any other existing trading market for our common stock or by any other method permitted by law. TD Cowen is not required to sell any specific number or dollar amount of shares of our common stock, but will act as our sales agent using commercially reasonable efforts consistent with its normal trading and sales practices.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to TD Cowen for sales of common stock sold pursuant to the Sales Agreement will be an amount of up to 3.0% of the aggregate gross proceeds of any shares of common stock sold under the Sales Agreement. In connection with the sale of our common stock on our behalf, TD Cowen may be deemed to be an “underwriter” within the meaning of the Securities Act, and the compensation of TD Cowen may be deemed to be underwriting commissions or discounts. We have agreed to provide indemnification and contribution to TD Cowen with respect to certain liabilities, including liabilities under the Securities Act or the Securities Exchange Act of 1934, as amended (the “Exchange Act”). See “Plan of Distribution” beginning on page S-14 for additional information regarding the compensation for TD Cowen.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Investing in our common stock involves a high degree of risk. You should carefully consider the risks and uncertainties described under the heading </w:t>
      </w:r>
      <w:hyperlink w:anchor="suptoc184758_5">
        <w:r>
          <w:rPr>
            <w:rStyle w:val="InternetLink"/>
            <w:rFonts w:ascii="Times New Roman" w:hAnsi="Times New Roman"/>
            <w:b/>
            <w:sz w:val="24"/>
          </w:rPr>
          <w:t>“Risk Factors</w:t>
        </w:r>
      </w:hyperlink>
      <w:r>
        <w:rPr>
          <w:rFonts w:ascii="Times New Roman" w:hAnsi="Times New Roman"/>
          <w:b/>
          <w:sz w:val="24"/>
        </w:rPr>
        <w:t xml:space="preserve">” on page S-9 of this prospectus supplement and in the accompanying prospectus, as well as those contained in the other documents that are incorporated by reference and any related free writing prospectus. You should carefully read this entire prospectus supplement and the accompanying prospectus, including any information incorporated by reference, before deciding whether to purchase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Neither the U.S.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TD Cowen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September 18,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6"/>
        <w:gridCol w:w="243"/>
        <w:gridCol w:w="78"/>
        <w:gridCol w:w="625"/>
        <w:gridCol w:w="63"/>
      </w:tblGrid>
      <w:tr>
        <w:trPr/>
        <w:tc>
          <w:tcPr>
            <w:tcW w:w="919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9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1">
              <w:r>
                <w:rPr>
                  <w:rStyle w:val="InternetLink"/>
                  <w:rFonts w:ascii="Times New Roman" w:hAnsi="Times New Roman"/>
                  <w:sz w:val="20"/>
                </w:rPr>
                <w:t>ABOUT THIS PROSPECTUS SUPPLEMENT</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2">
              <w:r>
                <w:rPr>
                  <w:rStyle w:val="InternetLink"/>
                  <w:rFonts w:ascii="Times New Roman" w:hAnsi="Times New Roman"/>
                  <w:sz w:val="20"/>
                </w:rPr>
                <w:t>SPECIAL NOTE REGARDING FORWARD-LOOKING STATEMENTS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3">
              <w:r>
                <w:rPr>
                  <w:rStyle w:val="InternetLink"/>
                  <w:rFonts w:ascii="Times New Roman" w:hAnsi="Times New Roman"/>
                  <w:sz w:val="20"/>
                </w:rPr>
                <w:t>PROSPECTUS SUPPLEMENT SUMMARY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S-6</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4">
              <w:r>
                <w:rPr>
                  <w:rStyle w:val="InternetLink"/>
                  <w:rFonts w:ascii="Times New Roman" w:hAnsi="Times New Roman"/>
                  <w:sz w:val="20"/>
                </w:rPr>
                <w:t>THE OFFERING</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5">
              <w:r>
                <w:rPr>
                  <w:rStyle w:val="InternetLink"/>
                  <w:rFonts w:ascii="Times New Roman" w:hAnsi="Times New Roman"/>
                  <w:sz w:val="20"/>
                </w:rPr>
                <w:t>RISK FACTORS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6">
              <w:r>
                <w:rPr>
                  <w:rStyle w:val="InternetLink"/>
                  <w:rFonts w:ascii="Times New Roman" w:hAnsi="Times New Roman"/>
                  <w:sz w:val="20"/>
                </w:rPr>
                <w:t>USE OF PROCEEDS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7">
              <w:r>
                <w:rPr>
                  <w:rStyle w:val="InternetLink"/>
                  <w:rFonts w:ascii="Times New Roman" w:hAnsi="Times New Roman"/>
                  <w:sz w:val="20"/>
                </w:rPr>
                <w:t>DILUTION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S-12</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8">
              <w:r>
                <w:rPr>
                  <w:rStyle w:val="InternetLink"/>
                  <w:rFonts w:ascii="Times New Roman" w:hAnsi="Times New Roman"/>
                  <w:sz w:val="20"/>
                </w:rPr>
                <w:t>PLAN OF DISTRIBUTION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S-14</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9">
              <w:r>
                <w:rPr>
                  <w:rStyle w:val="InternetLink"/>
                  <w:rFonts w:ascii="Times New Roman" w:hAnsi="Times New Roman"/>
                  <w:sz w:val="20"/>
                </w:rPr>
                <w:t>LEGAL MATTERS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S-16</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10">
              <w:r>
                <w:rPr>
                  <w:rStyle w:val="InternetLink"/>
                  <w:rFonts w:ascii="Times New Roman" w:hAnsi="Times New Roman"/>
                  <w:sz w:val="20"/>
                </w:rPr>
                <w:t>EXPERTS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S-16</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11">
              <w:r>
                <w:rPr>
                  <w:rStyle w:val="InternetLink"/>
                  <w:rFonts w:ascii="Times New Roman" w:hAnsi="Times New Roman"/>
                  <w:sz w:val="20"/>
                </w:rPr>
                <w:t>WHERE YOU CAN FIND ADDITIONAL INFORMATION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S-17</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toc184758_12">
              <w:r>
                <w:rPr>
                  <w:rStyle w:val="InternetLink"/>
                  <w:rFonts w:ascii="Times New Roman" w:hAnsi="Times New Roman"/>
                  <w:sz w:val="20"/>
                </w:rPr>
                <w:t>INCORPORATION OF CERTAIN INFORMATION BY REFERENCE</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15" w:name="suptoc184758_1"/>
      <w:bookmarkEnd w:id="15"/>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an automatic shelf registration statement on Form S-3 that we filed with the U.S. Securities and Exchange Commission (the “SEC”) as a “well-known seasoned issuer” as defined in Rule 405 under the Securities Act, utilizing a “shelf” registration process. Under this shelf registration, we may, from time to time, sell an unspecified amount of common stock and other securities. Under this prospectus supplement, we may offer shares of our common stock having an aggregate offering price of up to $500,000,000 from time to time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contains two parts: this prospectus supplement, which provides you with specific information about this offering, and the accompanying prospectus, which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 statements made in this prospectus supplement will be deemed to modify or supersede those made in the accompanying prospectus, including the documents incorporated by reference therein. Information in any document we subsequently file that is incorporated by reference shall modify or supersede the information in this prospectus supplement, the accompanying prospectus and documents incorporated by reference prior to such subsequent filing. It is important for you to read and consider all information contained in this prospectus supplement and the accompanying prospectus, including the documents we have referred you to in the section entitled “Where You Can Find Additional Information” below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and incorporated by reference in this prospectus supplement, the accompanying prospectus and in any free writing prospectus that we have authorized for use in connection with this offering. We have not, and TD Cowen has not, authorized anyone to give you any other information, and neither we nor TD Cowen take any responsibility for any other information that others may give you. We are not, and TD Cowen is not, making offers to sell the securities in any jurisdiction in which an offer or solicitation is not authorized or permitted or in which the person making such offer or solicitation is not qualified to do so or to anyone to whom it is unlawful to make an offer or solicitation. The information contained and incorporated by reference in this prospectus supplement, the accompanying prospectus and any free writing prospectus that we have authorized for use in connection with this offering speaks only as of the date of this document, unless the information specifically indicates that another date applies. Neither the delivery of this prospectus supplement, the accompanying prospectus or any free writing prospectus that we have authorized for use in connection with this offering, nor any sale of securities made under these documents, will, under any circumstances, create any implication that there has been no change in our affairs since the date of this prospectus supplement, the accompanying prospectus or any free writing prospectus that we have authorized for use in connection with this offering, nor that the information contained or incorporated by reference is correct as of any time subsequent to the date of such information. You should assume that the information contained and incorporated by reference in this prospectus supplement, the accompanying prospectus and in any free writing prospectus that we have authorized for use in connection with this offering is accurate only as of the date of the documents containing the information, unless the information specifically indicates that another date applies.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and the accompanying prospectus do not constitute an offer to sell or the solicitation of an offer to buy any securities other than the shares of common stock to which they relate, nor do this prospectus supplement and the accompanying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information contained in or incorporated by reference into this prospectus supplement and the accompanying prospectus concerning our industry and the markets in which we operate, including market position and market opportunity, is based on information from our management’s estimates, as well as from industry publications and research, surveys and studies conducted by third parties. Management estimates are derived from publicly available information, our knowledge of our industry and assumptions based on such information and knowledge, which we believe to be reasonable. However, assumptions and estimates of our future performance, and the future performance of our industry are subject to numerous known and unknown risks and uncertainties, including those described under the heading “Risk Factors” beginning on page S-9 of this prospectus supplement and the risk factors incorporated by reference into this prospectus supplement and accompanying prospectus. These and other important factors could result in our estimates and assumptions being materially different from future results. You should read the information contained in, or incorporated by reference into, this prospectus supplement and the accompanying prospectus completely and with the understanding that future results may be materially different and worse from what we expect. See the information included under the heading “Special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mentioned or unless the context requires otherwise, throughout this prospectus supplement, the words “Dianthus,” “we,” “us,” “our” or the “company” refer to Dianthus Therapeutics, Inc., and the term “securities” refers to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suptoc184758_2"/>
      <w:bookmarkEnd w:id="1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“forward-looking statements” within the meaning of Section 27A of the Securities Act and Section 21E of the Exchange Act, which statements are subject to substantial risks and uncertainties and are based on estimates and assumptions. All statements, other than statements of historical fact, included or incorporated by reference in this prospectus supplement and the accompanying prospectus are forward-looking statements, including, without limitation, statements concerning our plans, objectives, goals, expectations, hopes, beliefs, intentions, assumptions, projections, estimates or strategies and any underlying assumptions regarding the future, our future results of operations and financial position, including the sufficiency of our existing cash resources to fund our operations for as long as anticipated, our liquidity, capital resources, costs and expenses, capital requirements, commitments and contingencies, the development or commercial potential of claseprubart, DNTH212, or any other product candidate, our anticipated preclinical and clinical drug development activities, in particular with respect to claseprubart and DNTH212, and any timelines, developments or results in connection therewith, including the timing of data, the efficacy, safety profile, dosing amount or frequency, method of delivery or other potential therapeutic benefits of claseprubart and DNTH212, the receipt or timing of potential regulatory designations, approvals and commercialization of any product candidates, market size or addressable patient population and other statements, including those included under the section titled “Risk Factors” and elsewhere in this prospectus supplement and the accompanying prospectus. In some cases, you can identify forward-looking statements by terms such as “aim,” “may,” “might,” “will,” “would,” “shall,” “objective,” “intend,” “target,” “should,” “could,” “can,” “expect,” “anticipate,” “believe,” “design,” “estimate,” “forecast,” “predict,” “project,” “potential,” “possible,” “plan,” “seek,” “contemplate,” “goal,” “likely” or “continue” or the negative of these terms and similar expressions intended to identify forward-looking statements, but the absence of these terms does not mean that a statement is not forward-looking. Forward-looking statements are not historical facts and are based on our current expectations and beliefs with respect to future events and their potential effects and impacts. There can be no assurance that future events affecting us will be those that have been anticipated. Given the significant risks and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There are a number of risks, uncertainties and other factors that could cause our actual results or outcomes, or the timing of our results or outcomes, to differ materially from the forward-looking statements expressed or implied in this prospectus supplement and the accompanying prospectus. Such risks, uncertainties and other factors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our management for future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ability to manage expenses and unanticipated spending and costs that could reduce our cash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ability to correctly estimate our operating expenses and other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capital resource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protect our intellectual property rights, in particular those related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the development of claseprubart, DNTH212, and our other potential product candidates or preclinical activities under the timelines we anticipate in planned and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replicate in later clinical trials positive results found in preclinical studies and early-stage clinical trials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anticipated benefits of our current or future research and development programs, strategic partnerships, licensing programs or other collaborations;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or developments, and our ability to obtain necessary approvals from the U.S. Food and Drug Administration (the “FDA”) or other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product candidates in conformity with the FDA’s or other regulatory authorities’ requirements and to scale up manufacturing of our product candidates to commercial scale,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clinical trial designs and regulatory pathways;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expected or existing competitors or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geopolitical and macroeconomic developments beyond our control, including inflationary pressures, general economic slowdown or a recession, high interest rates, changes in monetary policy or foreign currency exchange rates, changes in trade policies including tariffs and other trade restrictions or the threat of such actions, instability in financial institutions, the impact of a prolonged shutdown of the U.S. federal government, the ongoing conflict in Ukraine, conflicts in the Middle East and rising tensions between China and Taiwan, the attacks on marine vessels traversing the Red Sea and the responses thereto, and supply chain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recruiting or changes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and trading of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our product candidates or our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develop and commercialize any technology that we have in-licensed or may in-license or products we have acquired or may acquire;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operate in non-U.S. jurisdictions in which we may choose to do business, including compliance with applicable regulatory requirements and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third-party contract development and manufacturer organizations to manufacture and supply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satisfactory pricing and obtain adequate reimbursement from government and third-party payors of our products and product candidates that receive regulatory approvals,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if approved, and the rate and degree of market acceptance of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ability to obtain additional financing and raise capital as necessary to fund operations or pursue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continue to grow and manage our growth effectively;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comply with, and the effect on our business of, evolving legal standards and regulations, including those concerning data protection, consumer privacy and sustainability and evolving labor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other factors that may cause our actual results or outcomes, or the timing of those results or outcomes, to differ materially from the forward-looking statements expressed or implied in this prospectus supplement and the accompanying prospectus, including factors identified in this prospectus supplement under the heading “Risk Factors” and in the accompanying prospectus and under similar headings in the other documents incorporated by reference into this prospectus supplement and the accompanying prospectus. You should evaluate all forward-looking statements made in this prospectus supplement and the accompanying prospectus and in the other documents incorporated by reference into this prospectus supplement and the accompanying prospectus in the context of these risks and uncertainties.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caution you that the risks, uncertainties and other factors referred to above and elsewhere in this prospectus supplement and the accompanying prospectus may not contain all of the risks, uncertainties and other factors that may affect our future results, operations and outcomes. Moreover, new risks emerge from time to time. It is not possible for us to predict all risks. In addition, we cannot assure you that we will realize the results, benefits or developments that we expect or anticipate or, even if substantially realized, that they will result in the consequences or affect us or our business in the way expected. Past performance is not indicative of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contained or incorporated by reference in this prospectus supplement and the accompanying prospectus apply only as of the date made and are expressly qualified in their entirety by the cautionary statements included in this prospectus supplement and the accompanying prospectus. Except as required by law, we disclaim any intent to publicly update or revise any forward-looking statements, whether as a result of new information, future events, changes in assumptions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17" w:name="suptoc184758_3"/>
      <w:bookmarkEnd w:id="17"/>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of our business highlights certain of the information contained elsewhere in, or incorporated by reference into, this prospectus supplement and the accompanying prospectus. This summary does not contain all of the information that may be important to you. You should carefully read this entire prospectus supplement and the accompanying prospectus, including any information incorporated by reference, which are described under the headings “Where You Can Find Additional Information” and “Incorporation of Certain Information by Reference” herein and therein. In particular, you should carefully consider the risks and uncertainties described under the heading “Risk Factors” in this prospectus supplement and in the accompanying prospectus, as well as those contained in the other documents incorporated by reference herein and any related free writing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ABOUT 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dedicated to developing potentially best-in-disease therapies for patients living with severe autoimmune diseases. Our lead clinical-stage candidate, claseprubart, is a monoclonal antibody that is purposefully engineered with extended half-life, improved potency, and high selectivity for only the active C1s complement protein – enabling less frequent and more convenient self-administered subcutaneous (“S.C.”) injections suitable for a pre-filled pen. Additionally, selective inhibition of the classical complement pathway may lower patient risk of infection from encapsulated bacteria by preserving immune activity of the lectin and alternative pathways. We believe claseprubart has the potential to address a broad array of complement-dependent diseases as currently available therapies and those in development leave room for improvements in efficacy, safety, and/or dosing convenience.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second clinical-stage candidate, DNTH212, is a first-in-class and potentially best-in-disease, bifunctional fusion protein that targets plasmacytoid dendritic cell BDCA2 to reduce Type 1 interferon production, while simultaneously inhibiting BAFF/APRIL to suppress B cell function. By targeting both the innate and adaptive immune systems via two clinically validated pathways that are known drivers of autoimmune disease pathogenesis, this complementary and differentiated approach has the potential to address multiple autoimmune indications with improved outcomes. DNTH212 is also designed with the potential for patient-friendly convenient, infrequent, self-administered S.C. injections suitable for a pre-filled pen.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development candidate, DNTH312, is an internally developed, investigational, first-in-class, next-generation bifunctional fusion protein combining claseprubart and TACI to target potent inhibition of active C1s and BAFF/APRIL. DNTH312 is enhanced with YTE half-life extension technology, similar to claseprubart. By targeting two validated pathways with complementary disease modifying mechanisms, DNTH312 is designed to expand our leadership position in autoimmune diseases with potential for best-in-disease efficacy by targeting deeper responses and broader symptom control, while also addressing larger patient populations.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7 Times Square, 43rd Floor, New York, New York 10036, and our telephone number is (929) 999-4055. Our website address is www.dianthustx.com. Information contained on, or accessible through, our website is not incorporated by reference in this prospectus supplement. We have included our website in this prospectus supplement solely as an inactive textual reference. We make our periodic and current reports available on our website, free of charge, as soon as reasonably practicable after such material is electronically filed with, or furnished to, the SEC. We file our annual, quarterly and special reports, proxy statements and other information with the SEC. Our filings with the SEC are also available to the public on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Our common stock is traded on Nasdaq under the symbol “DNTH.”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18" w:name="suptoc184758_4"/>
      <w:bookmarkEnd w:id="1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pursuant to this prospectus supplement </w:t>
            </w:r>
          </w:p>
        </w:tc>
        <w:tc>
          <w:tcPr>
            <w:tcW w:w="6329" w:type="dxa"/>
            <w:tcBorders/>
          </w:tcPr>
          <w:p>
            <w:pPr>
              <w:pStyle w:val="TableContents"/>
              <w:bidi w:val="0"/>
              <w:spacing w:before="0" w:after="283"/>
              <w:jc w:val="left"/>
              <w:rPr/>
            </w:pPr>
            <w:r>
              <w:rPr/>
              <w:t xml:space="preserve">Shares of our common stock having an aggregate offering price of up to $500,000,000.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immediately after this offering </w:t>
            </w:r>
          </w:p>
        </w:tc>
        <w:tc>
          <w:tcPr>
            <w:tcW w:w="6328" w:type="dxa"/>
            <w:tcBorders/>
          </w:tcPr>
          <w:p>
            <w:pPr>
              <w:pStyle w:val="TableContents"/>
              <w:bidi w:val="0"/>
              <w:spacing w:before="0" w:after="283"/>
              <w:jc w:val="left"/>
              <w:rPr/>
            </w:pPr>
            <w:r>
              <w:rPr/>
              <w:t xml:space="preserve">Up to 59,742,958 shares of our common stock, assuming sales of 4,944,620 shares of our common stock in this offering at a public offering price of $101.12 per share, which was the last reported sale price per share of our common stock on Nasdaq on September 17, 2026. The actual number of shares of our common stock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Plan of Distribution </w:t>
            </w:r>
          </w:p>
        </w:tc>
        <w:tc>
          <w:tcPr>
            <w:tcW w:w="6328" w:type="dxa"/>
            <w:tcBorders/>
          </w:tcPr>
          <w:p>
            <w:pPr>
              <w:pStyle w:val="TableContents"/>
              <w:bidi w:val="0"/>
              <w:spacing w:before="0" w:after="283"/>
              <w:jc w:val="left"/>
              <w:rPr/>
            </w:pPr>
            <w:r>
              <w:rPr/>
              <w:t>“</w:t>
            </w:r>
            <w:r>
              <w:rPr/>
              <w:t xml:space="preserve">At the market offering” that may be made from time to time through or to TD Cowen acting as our sales agent. See “Plan of Distribution”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intend to use the net proceeds from this offering to further our preclinical and clinical development activities, as well as for working capital and general corporate purposes. See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You should read and consider the information set forth under the heading “Risk Factors” in this prospectus supplement and in the accompanying prospectus, together with the risk factors and cautionary statements included in or incorporated by reference herein, before deciding to invest in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Capital Market symbol </w:t>
            </w:r>
          </w:p>
        </w:tc>
        <w:tc>
          <w:tcPr>
            <w:tcW w:w="6330" w:type="dxa"/>
            <w:tcBorders/>
          </w:tcPr>
          <w:p>
            <w:pPr>
              <w:pStyle w:val="TableContents"/>
              <w:bidi w:val="0"/>
              <w:spacing w:before="0" w:after="283"/>
              <w:jc w:val="left"/>
              <w:rPr/>
            </w:pPr>
            <w:r>
              <w:rPr/>
              <w:t>“</w:t>
            </w:r>
            <w:r>
              <w:rPr/>
              <w:t xml:space="preserve">DNTH”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information in this prospectus supplement related to the number of shares of our common stock to be outstanding immediately after this offering is based on 54,798,338 shares of our common stock outstanding as of June 30, 2026. The number of shares of our common stock outstanding as of June 30, 2026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598,779 shares of common stock issuable upon the exercise of stock options outstanding as of June 30, 2026 under the Dianthus Therapeutics, Inc. 2019 Stock Plan (the “2019 Plan”) at a weighted-average exercise price of $9.97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6,128,786 shares of common stock issuable upon the exercise of stock options outstanding as of June 30, 2026 under the Second Amended and Restated Dianthus Therapeutics, Inc. Stock Option and Incentive Plan (the “LTIP”) at a weighted-average exercise price of $32.50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3,265 shares of common stock issuable upon the exercise of stock options outstanding as of June 30, 2026 under the Magenta 2016 Stock Option and Grant Plan (the “Magenta 2016 Plan”) at a weighted-average exercise price of $77.44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446,750 shares of common stock issuable upon the exercise of stock options outstanding as of June 30, 2026 under the Dianthus Therapeutics, Inc. Equity Inducement Plan (as amended, the “Inducement Plan”) at a weighted-average exercise price of $63.32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30,000 shares of common stock issuable upon the exercise of stock options granted subsequent to June 30, 2026 under the LTIP at a weighted-average exercise price of $90.21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197,000 shares of common stock issuable upon the exercise of stock options granted subsequent to June 30, 2026 under the Inducement Plan at a weighted-average exercise price of $101.52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7,232 shares of common stock issued subsequent to June 30, 2026 under the Dianthus Therapeutics, Inc. 2019 Employee Stock Purchase Plan (the “2019 ESPP”);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1,005,700 shares of common stock issued subsequent to June 30, 2026 under an at-the-market offering sales agreement, dated October 1, 2024, with TD Cowen as sales agent (the “Prior Sales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1,466,603 shares of common stock reserved for issuance under the LTIP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428,000 shares of common stock reserved for issuance under the Inducement Plan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197,888 shares of common stock reserved for issuance under the 2019 ESPP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1,346,922 shares of common stock issuable upon the exercise of pre-funded warrants to purchase common stock outstanding as of June 30, 2026 at a weighted-average exercise price of $0.001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suptoc184758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risk factors and other information included in this prospectus supplement should be carefully considered. The risks and uncertainties described below are not the only ones we face. Additional risks and uncertainties not presently known to us or that we presently deem less significant may also impair our business operations. You should carefully consider the risks described below, as well as those contained in the other documents incorporated by reference and any free writing prospectus that we have authorized for use in connection with this offering, before deciding whether to invest in our common stock. If any of the following risks occur, our business, financial condition, results of operations and future growth prospects could be materially and adversely affected. In any such case, the trading price of our common stock could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as to the use of proceeds from this offering and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retain broad discretion as to the allocation of the proceeds and may spend these proceeds in ways in which you may not agree. Because of the number and variability of factors that will determine our use of our existing cash, cash equivalents and short-term investments and the net proceeds from this offering, their ultimate use may vary substantially from their currently intended use. The failure of our management to apply these funds effectively could result in unfavorable returns and uncertainty about our prospects, each of which could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shares of our common stock in this offering, you will incur immediate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Some or all of the public offering price per share in this offering may exceed the pro forma net tangible book value per share of our outstanding common stock. After giving effect to an assumed sale of shares of common stock in the aggregate amount of $500,000,000 at an assumed public offering price of $101.12 per share, which was the last reported sale price per share of our common stock on Nasdaq on September 17, 2026, and after deducting the commissions and estimated offering expenses payable by us, you would incur immediate and substantial dilution in the amount of $73.13 per share. In addition, you may also experience additional dilution after this offering on any future equity issuances, including the issuance of common stock in connection with the 2019 Plan, the LTIP, the Magenta 2016 Plan, the Inducement Plan and the 2019 ESPP. To the extent we raise additional capital by issuing equity securities, our stockholders will experience substantial additional dilution. See “Dilution”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not possible to predict the aggregate proceeds resulting from sales made under the Sales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an issuance notice to TD Cowen at any time throughout the term of the Sales Agreement. The number of shares that are sold through TD Cowen after delivering an issuance notice, if any, will fluctuate based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number of factors, including the market price of shares of our common stock during the sales period, the limits we set with TD Cowen in any applicable issuance notice and the demand for shares of our common stock during the sales period. Because the price per share of each share of common stock sold pursuant to the Sales Agreement will fluctuate during this offering, it is not currently possible to predict the number of shares of common stock that will be sold or the aggregate proceeds we will raise in connection with those sales under the Sales Agreement, and we may not sell any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suptoc184758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$500,000,000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TD Cowen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if any, from this offering to further our preclinical and clinical development activities, as well as for working capital and general corporate purposes. We may also use a portion of the proceeds to license, acquire or invest in new product candidates or for drug development activities related to such product candidates, however, we have no current commitments to do so. The expected use of net proceeds from this offering represents our current intentions based on our present plans and business conditions, which could change in the future as our plans and business conditions evolve. 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management will have broad discretion in the timing and application of the net proceeds.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the net proceeds, we may invest the proceeds in a variety of capital preservation investments, including interest-bearing, investment-grade securities, certificates of deposit or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suptoc184758_7"/>
      <w:bookmarkEnd w:id="21"/>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Dilution represents the difference between the amount per share of common stock paid by purchasers of shares of common stock in this offering and the pro forma net tangible book value per share of our common stock immediately after this offering. The data in this section are derived from our unaudited condensed consolidated balance sheet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Net tangible book value per share of common stock is equal to our total tangible assets less the amount of our total liabilities, divided by the number of shares of our common stock outstanding as of June 30, 2026, excluding shares of common stock underlying outstanding options and pre-funded warrants. Our net tangible book value as of June 30, 2026 was $1,187.6 million, or $21.67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present pro forma net tangible book value by giving further effect to the assumed sale of shares of common stock in the aggregate amount of $500,000,000 at an assumed public offering price of $101.12 per share, which was the last reported sale price per share of our common stock on Nasdaq on September 17, 2026, and after deducting the commissions and estimated offering expenses payable by us, our pro forma net tangible book value as of June 30, 2026 would have been $1,672.2 million, or $27.99 per share of common stock. This represents an immediate increase in pro forma net tangible book value to existing stockholders of $6.32 per share of common stock and immediate dilution in pro forma net tangible book value to purchasers of shares of common stock in this offering of $73.13 per share of common stock. The following table illustrates this dilution per share of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18"/>
        <w:gridCol w:w="379"/>
        <w:gridCol w:w="142"/>
        <w:gridCol w:w="570"/>
        <w:gridCol w:w="60"/>
        <w:gridCol w:w="379"/>
        <w:gridCol w:w="142"/>
        <w:gridCol w:w="701"/>
        <w:gridCol w:w="64"/>
      </w:tblGrid>
      <w:tr>
        <w:trPr/>
        <w:tc>
          <w:tcPr>
            <w:tcW w:w="5318"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 of common stock</w:t>
            </w:r>
          </w:p>
        </w:tc>
        <w:tc>
          <w:tcPr>
            <w:tcW w:w="37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101.12</w:t>
            </w:r>
          </w:p>
        </w:tc>
        <w:tc>
          <w:tcPr>
            <w:tcW w:w="64" w:type="dxa"/>
            <w:tcBorders/>
            <w:shd w:fill="CCEEFF" w:val="clear"/>
            <w:vAlign w:val="bottom"/>
          </w:tcPr>
          <w:p>
            <w:pPr>
              <w:pStyle w:val="TableContents"/>
              <w:bidi w:val="0"/>
              <w:spacing w:before="0" w:after="283"/>
              <w:jc w:val="left"/>
              <w:rPr/>
            </w:pPr>
            <w:r>
              <w:rPr/>
              <w:t> </w:t>
            </w:r>
          </w:p>
        </w:tc>
      </w:tr>
      <w:tr>
        <w:trPr/>
        <w:tc>
          <w:tcPr>
            <w:tcW w:w="5318"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of common stock as of June 30, 2026</w:t>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21.67</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of common stock attributable to purchasers of shares of common stock in this offering</w:t>
            </w:r>
          </w:p>
        </w:tc>
        <w:tc>
          <w:tcPr>
            <w:tcW w:w="37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6.32</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0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1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of common stock immediately after this offering</w:t>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01" w:type="dxa"/>
            <w:tcBorders/>
            <w:vAlign w:val="bottom"/>
          </w:tcPr>
          <w:p>
            <w:pPr>
              <w:pStyle w:val="TableContents"/>
              <w:bidi w:val="0"/>
              <w:spacing w:before="0" w:after="283"/>
              <w:jc w:val="right"/>
              <w:rPr/>
            </w:pPr>
            <w:r>
              <w:rPr/>
              <w:t>27.99</w:t>
            </w:r>
          </w:p>
        </w:tc>
        <w:tc>
          <w:tcPr>
            <w:tcW w:w="64" w:type="dxa"/>
            <w:tcBorders/>
            <w:vAlign w:val="bottom"/>
          </w:tcPr>
          <w:p>
            <w:pPr>
              <w:pStyle w:val="TableContents"/>
              <w:bidi w:val="0"/>
              <w:spacing w:before="0" w:after="283"/>
              <w:jc w:val="left"/>
              <w:rPr/>
            </w:pPr>
            <w:r>
              <w:rPr/>
              <w:t> </w:t>
            </w:r>
          </w:p>
        </w:tc>
      </w:tr>
      <w:tr>
        <w:trPr/>
        <w:tc>
          <w:tcPr>
            <w:tcW w:w="531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pro forma net tangible book value per share of common stock to purchasers of shares of common stock in this offering</w:t>
            </w:r>
          </w:p>
        </w:tc>
        <w:tc>
          <w:tcPr>
            <w:tcW w:w="37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73.13</w:t>
            </w:r>
          </w:p>
        </w:tc>
        <w:tc>
          <w:tcPr>
            <w:tcW w:w="64" w:type="dxa"/>
            <w:tcBorders/>
            <w:shd w:fill="CCEEFF" w:val="clear"/>
            <w:vAlign w:val="bottom"/>
          </w:tcPr>
          <w:p>
            <w:pPr>
              <w:pStyle w:val="TableContents"/>
              <w:bidi w:val="0"/>
              <w:spacing w:before="0" w:after="283"/>
              <w:jc w:val="left"/>
              <w:rPr/>
            </w:pPr>
            <w:r>
              <w:rPr/>
              <w:t> </w:t>
            </w:r>
          </w:p>
        </w:tc>
      </w:tr>
      <w:tr>
        <w:trPr/>
        <w:tc>
          <w:tcPr>
            <w:tcW w:w="531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that an aggregate of 4,944,620 shares of our common stock are sold at a price of $101.12 per share, the last reported sale price of our common stock on Nasdaq on September 17, 2026. The shares of common stock sold in this offering, if any, will be sold from time to time at various prices. An increase of $1.00 per share in the price at which the shares of common stock are sold would increase the dilution in pro forma net tangible book value per share to purchasers of shares of common stock in this offering to $74.11 per share, after deducting the commissions and estimated offering expenses payable by us. A decrease of $1.00 per share in the price at which the shares of common stock are sold would decrease the dilution in pro forma net tangible book value per share to purchasers of shares of common stock in this offering to $72.15 per share, after deducting the commissions and estimated offering expenses payable by us. This information is supplied for illustrative purposes only.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in this prospectus supplement related to the number of shares of our common stock to be outstanding immediately after this offering is based on 54,798,338 shares of our common stock outstanding as of June 30, 2026. The number of shares of our common stock outstanding as of June 30, 2026 as used throughout this prospectus supplement, unless otherwise indicated,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598,779 shares of common stock issuable upon the exercise of stock options outstanding as of June 30, 2026 under the 2019 Plan at a weighted-average exercise price of $9.97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6,128,786 shares of common stock issuable upon the exercise of stock options outstanding as of June 30, 2026 under the LTIP at a weighted-average exercise price of $32.50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3,265 shares of common stock issuable upon the exercise of stock options outstanding as of June 30, 2026 under the Magenta 2016 Plan at a weighted-average exercise price of $77.44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446,750 shares of common stock issuable upon the exercise of stock options outstanding as of June 30, 2026 under the Inducement Plan at a weighted-average exercise price of $63.32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30,000 shares of common stock issuable upon the exercise of stock options granted subsequent to June 30, 2026 under the LTIP at a weighted-average exercise price of $90.21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197,000 shares of common stock issuable upon the exercise of stock options granted subsequent to June 30, 2026 under the Inducement Plan at a weighted-average exercise price of $101.52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7,232 shares of common stock issued subsequent to June 30, 2026 under the 2019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1,005,700 shares of common stock issued subsequent to June 30, 2026 under the Prior Sales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1,466,603 shares of common stock reserved for issuance under the LTIP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428,000 shares of common stock reserved for issuance under the Inducement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197,888 shares of common stock reserved for issuance under the 2019 ESPP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1,346,922 shares of common stock issuable upon the exercise of pre-funded warrants to purchase common stock outstanding as of June 30, 2026 at a weighted-average exercise price of $0.001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suptoc184758_8"/>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Sales Agreement with TD Cowen, under which we may offer and sell from time to time shares of our common stock through or to TD Cowen as our sales agent or principal. Pursuant to this prospectus, we may offer and sell up to $500,000,000 of shares of common stock. Sales of our common stock, if any, will be made in negotiated transactions, including block trades or block sales, or by any method permitted by law deemed to be an “at the market offering” as defined in Rule 415(a)(4) under the Securities Act, including without limitation sales made through Nasdaq or on any other existing trading market for our common stock, or by any other method permitted by law. Sales pursuant to the Sales Agreement may be made through an affiliate of TD Cowen. </w:t>
      </w:r>
    </w:p>
    <w:p>
      <w:pPr>
        <w:pStyle w:val="TextBody"/>
        <w:bidi w:val="0"/>
        <w:spacing w:before="240" w:after="0"/>
        <w:jc w:val="left"/>
        <w:rPr>
          <w:rFonts w:ascii="Times New Roman" w:hAnsi="Times New Roman"/>
          <w:sz w:val="20"/>
        </w:rPr>
      </w:pPr>
      <w:r>
        <w:rPr>
          <w:rFonts w:ascii="Times New Roman" w:hAnsi="Times New Roman"/>
          <w:sz w:val="20"/>
        </w:rPr>
        <w:t xml:space="preserve">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TD Cowen as sales agent will be an amount of up to 3.0% of the gross sales price of the shares sold through it pursuant to the Sales Agreement. We have also agreed to reimburse TD Cowen up to $75,000 of TD Cowen’s actual outside legal expenses incurred by TD Cowen in connection with the execution of the Sales Agreement, in addition to certain ongoing disbursements of its legal counsel. We estimate that the total expenses of the offering payable by us, excluding commissions payable to TD Cowen under the Sales Agreement, will be approximately $369,000.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before="240" w:after="0"/>
        <w:jc w:val="left"/>
        <w:rPr>
          <w:rFonts w:ascii="Times New Roman" w:hAnsi="Times New Roman"/>
          <w:sz w:val="20"/>
        </w:rPr>
      </w:pPr>
      <w:r>
        <w:rPr>
          <w:rFonts w:ascii="Times New Roman" w:hAnsi="Times New Roman"/>
          <w:sz w:val="20"/>
        </w:rPr>
        <w:t xml:space="preserve">TD 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shares of common stock sold through TD Cowen under the Sales Agreement and the net proceeds to us in connection with the sales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our common stock on our behalf, TD Cowen may be deemed to be an “underwriter” within the meaning of the Securities Act, and the compensation paid to TD Cowen may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and trades under the symbol “DNTH.” The transfer agent of our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TD Cowen and/or its affiliates have provided, and may in the future provide, various investment banking, commercial banking and other financial services for us and our affiliates for which they have received, and may in the future receive, customary fees. TD Cowen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TD Cowen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or our affiliates.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suptoc184758_9"/>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being offered in this prospectus supplement will be passed upon for us by Gibson, Dunn &amp; Crutcher LLP, San Francisco, California. TD Securities (USA) LLC is being represented in connection with this offering by Cooley LLP, New York, New York. </w:t>
      </w:r>
    </w:p>
    <w:p>
      <w:pPr>
        <w:pStyle w:val="TextBody"/>
        <w:bidi w:val="0"/>
        <w:spacing w:before="480" w:after="0"/>
        <w:jc w:val="center"/>
        <w:rPr>
          <w:rFonts w:ascii="Times New Roman" w:hAnsi="Times New Roman"/>
          <w:b/>
          <w:sz w:val="20"/>
        </w:rPr>
      </w:pPr>
      <w:bookmarkStart w:id="24" w:name="suptoc184758_10"/>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Dianthus Therapeutics, Inc. as of December 31, 2025 and 2024, and for each of the two years in the period ended December 31, 2025,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suptoc184758_11"/>
      <w:bookmarkEnd w:id="25"/>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special reports, proxy statements and other information with the SEC. The SEC maintains an Internet website that contains reports, proxy statements and other information about registrants, like us, that file electronically with the SEC. The address of that site is </w:t>
      </w:r>
      <w:r>
        <w:rPr>
          <w:rFonts w:ascii="Times New Roman" w:hAnsi="Times New Roman"/>
          <w:i/>
          <w:sz w:val="20"/>
        </w:rPr>
        <w:t>www.sec.gov</w:t>
      </w:r>
      <w:r>
        <w:rPr>
          <w:rFonts w:ascii="Times New Roman" w:hAnsi="Times New Roman"/>
          <w:sz w:val="20"/>
        </w:rPr>
        <w:t xml:space="preserve">. Statements contained in this prospectus supplement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suptoc184758_12"/>
      <w:bookmarkEnd w:id="2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supplement, and information that we file on or after the date hereof with the SEC will automatically update and supersede the information already incorporated by reference. We are incorporating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2025 filed with the SEC on </w:t>
            </w:r>
            <w:hyperlink r:id="rId14">
              <w:r>
                <w:rPr>
                  <w:rStyle w:val="InternetLink"/>
                  <w:rFonts w:ascii="Times New Roman" w:hAnsi="Times New Roman"/>
                  <w:sz w:val="20"/>
                </w:rPr>
                <w:t>March 9, 2026</w:t>
              </w:r>
            </w:hyperlink>
            <w:r>
              <w:rPr>
                <w:rFonts w:ascii="Times New Roman" w:hAnsi="Times New Roman"/>
                <w:sz w:val="20"/>
              </w:rPr>
              <w:t xml:space="preserve"> (and any portions of our Definitive Proxy Statement on Schedule 14A filed on </w:t>
            </w:r>
            <w:hyperlink r:id="rId15">
              <w:r>
                <w:rPr>
                  <w:rStyle w:val="InternetLink"/>
                  <w:rFonts w:ascii="Times New Roman" w:hAnsi="Times New Roman"/>
                  <w:sz w:val="20"/>
                </w:rPr>
                <w:t>April 9, 2026</w:t>
              </w:r>
            </w:hyperlink>
            <w:r>
              <w:rPr>
                <w:rFonts w:ascii="Times New Roman" w:hAnsi="Times New Roman"/>
                <w:sz w:val="20"/>
              </w:rPr>
              <w:t xml:space="preserve"> that are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2026 filed with the SEC on </w:t>
            </w:r>
            <w:hyperlink r:id="rId16">
              <w:r>
                <w:rPr>
                  <w:rStyle w:val="InternetLink"/>
                  <w:rFonts w:ascii="Times New Roman" w:hAnsi="Times New Roman"/>
                  <w:sz w:val="20"/>
                </w:rPr>
                <w:t>May 5, 2026</w:t>
              </w:r>
            </w:hyperlink>
            <w:r>
              <w:rPr>
                <w:rFonts w:ascii="Times New Roman" w:hAnsi="Times New Roman"/>
                <w:sz w:val="20"/>
              </w:rPr>
              <w:t xml:space="preserve"> and for the quarter ended June 30, 2026 filed with the SEC on </w:t>
            </w:r>
            <w:hyperlink r:id="rId17">
              <w:r>
                <w:rPr>
                  <w:rStyle w:val="InternetLink"/>
                  <w:rFonts w:ascii="Times New Roman" w:hAnsi="Times New Roman"/>
                  <w:sz w:val="20"/>
                </w:rPr>
                <w:t>August 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18">
              <w:r>
                <w:rPr>
                  <w:rStyle w:val="InternetLink"/>
                  <w:rFonts w:ascii="Times New Roman" w:hAnsi="Times New Roman"/>
                  <w:sz w:val="20"/>
                </w:rPr>
                <w:t>March 9, 2026</w:t>
              </w:r>
            </w:hyperlink>
            <w:r>
              <w:rPr>
                <w:rFonts w:ascii="Times New Roman" w:hAnsi="Times New Roman"/>
                <w:sz w:val="20"/>
              </w:rPr>
              <w:t xml:space="preserve"> (except for the information furnished under Items 2.02 and 7.01 therein and Exhibits 99.1 and 99.2 thereto), </w:t>
            </w:r>
            <w:hyperlink r:id="rId19">
              <w:r>
                <w:rPr>
                  <w:rStyle w:val="InternetLink"/>
                  <w:rFonts w:ascii="Times New Roman" w:hAnsi="Times New Roman"/>
                  <w:sz w:val="20"/>
                </w:rPr>
                <w:t>March  12, 2026</w:t>
              </w:r>
            </w:hyperlink>
            <w:r>
              <w:rPr>
                <w:rFonts w:ascii="Times New Roman" w:hAnsi="Times New Roman"/>
                <w:sz w:val="20"/>
              </w:rPr>
              <w:t xml:space="preserve">, </w:t>
            </w:r>
            <w:hyperlink r:id="rId20">
              <w:r>
                <w:rPr>
                  <w:rStyle w:val="InternetLink"/>
                  <w:rFonts w:ascii="Times New Roman" w:hAnsi="Times New Roman"/>
                  <w:sz w:val="20"/>
                </w:rPr>
                <w:t>March  26, 2026</w:t>
              </w:r>
            </w:hyperlink>
            <w:r>
              <w:rPr>
                <w:rFonts w:ascii="Times New Roman" w:hAnsi="Times New Roman"/>
                <w:sz w:val="20"/>
              </w:rPr>
              <w:t xml:space="preserve">, </w:t>
            </w:r>
            <w:hyperlink r:id="rId21">
              <w:r>
                <w:rPr>
                  <w:rStyle w:val="InternetLink"/>
                  <w:rFonts w:ascii="Times New Roman" w:hAnsi="Times New Roman"/>
                  <w:sz w:val="20"/>
                </w:rPr>
                <w:t>May  22, 2026</w:t>
              </w:r>
            </w:hyperlink>
            <w:r>
              <w:rPr>
                <w:rFonts w:ascii="Times New Roman" w:hAnsi="Times New Roman"/>
                <w:sz w:val="20"/>
              </w:rPr>
              <w:t xml:space="preserve"> and </w:t>
            </w:r>
            <w:hyperlink r:id="rId22">
              <w:r>
                <w:rPr>
                  <w:rStyle w:val="InternetLink"/>
                  <w:rFonts w:ascii="Times New Roman" w:hAnsi="Times New Roman"/>
                  <w:sz w:val="20"/>
                </w:rPr>
                <w:t>June 12,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Exhibit 4.5 to our Annual Report on Form 10-K for the year ended December  31, 2023, as filed with the SEC on </w:t>
            </w:r>
            <w:hyperlink r:id="rId23">
              <w:r>
                <w:rPr>
                  <w:rStyle w:val="InternetLink"/>
                  <w:rFonts w:ascii="Times New Roman" w:hAnsi="Times New Roman"/>
                  <w:sz w:val="20"/>
                </w:rPr>
                <w:t>March 21, 2024</w:t>
              </w:r>
            </w:hyperlink>
            <w:r>
              <w:rPr>
                <w:rFonts w:ascii="Times New Roman" w:hAnsi="Times New Roman"/>
                <w:sz w:val="20"/>
              </w:rPr>
              <w:t xml:space="preserve">, including any amendments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we file with the SEC pursuant to Sections 13(a), 13(c), 14 or 15(d) of the Exchange Act after the date of the initial registration statement that contains this prospectus supplement and prior to effectiveness of the registration statement and following the effectiveness of the registration statement until the offering of the securities under the registration statement is terminated or completed shall be deemed incorporated by reference in this prospectus supplement and to be a part of this prospectus supplement from the date of filing of those documents, with the exception of any portion of any report or document that is not deemed “filed” under such provisions on or after the date of this prospectus supplement, until the earlier of the date on which: (1) all of the securities registered hereunder have been sold; or (2) the registration statement of which this prospectus supplement is a part has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Under no circumstances will any information furnished under items 2.02 or 7.01 of Form 8-K be deemed incorporated herein by reference unless such Form 8-K expressly provides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Upon written or oral request, we will provide without charge to each person to whom a copy of the prospectus supplement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authorized no one to provide you with any information that differs from that contained in this prospectus supplement. Accordingly, we take no responsibility for any other information that others may give you. You should not assume that the information in this prospectus supplement is accurate as of any date other than the date of the front cover of this prospectus supplement. </w:t>
      </w:r>
    </w:p>
    <w:p>
      <w:pPr>
        <w:pStyle w:val="TextBody"/>
        <w:bidi w:val="0"/>
        <w:spacing w:before="240" w:after="0"/>
        <w:jc w:val="center"/>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7 Times Square, 43rd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center"/>
        <w:rPr>
          <w:rFonts w:ascii="Times New Roman" w:hAnsi="Times New Roman"/>
          <w:sz w:val="20"/>
        </w:rPr>
      </w:pPr>
      <w:r>
        <w:rPr>
          <w:rFonts w:ascii="Times New Roman" w:hAnsi="Times New Roman"/>
          <w:sz w:val="20"/>
        </w:rPr>
        <w:t xml:space="preserve">(929) 999-4055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$500,000,000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51455" cy="5403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2751455" cy="54038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000" w:after="0"/>
        <w:jc w:val="center"/>
        <w:rPr>
          <w:rFonts w:ascii="Times New Roman" w:hAnsi="Times New Roman"/>
          <w:b/>
          <w:sz w:val="32"/>
        </w:rPr>
      </w:pPr>
      <w:r>
        <w:rPr>
          <w:rFonts w:ascii="Times New Roman" w:hAnsi="Times New Roman"/>
          <w:b/>
          <w:sz w:val="32"/>
        </w:rPr>
        <w:t xml:space="preserve">TD Cowen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September 18,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other than the underwriting discounts and commissions, payable by the registrant in connection with the issuance and distribution of the securities being registered. All amounts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64"/>
        <w:gridCol w:w="540"/>
        <w:gridCol w:w="146"/>
        <w:gridCol w:w="762"/>
        <w:gridCol w:w="327"/>
      </w:tblGrid>
      <w:tr>
        <w:trPr/>
        <w:tc>
          <w:tcPr>
            <w:tcW w:w="5164" w:type="dxa"/>
            <w:tcBorders/>
            <w:vAlign w:val="center"/>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5164"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27" w:type="dxa"/>
            <w:tcBorders/>
            <w:vAlign w:val="bottom"/>
          </w:tcPr>
          <w:p>
            <w:pPr>
              <w:pStyle w:val="TableContents"/>
              <w:bidi w:val="0"/>
              <w:spacing w:before="0" w:after="283"/>
              <w:jc w:val="left"/>
              <w:rPr/>
            </w:pPr>
            <w:r>
              <w:rPr/>
              <w:t> </w:t>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69,050</w:t>
            </w:r>
          </w:p>
        </w:tc>
        <w:tc>
          <w:tcPr>
            <w:tcW w:w="327" w:type="dxa"/>
            <w:tcBorders/>
            <w:shd w:fill="CCEEFF" w:val="clear"/>
            <w:vAlign w:val="bottom"/>
          </w:tcPr>
          <w:p>
            <w:pPr>
              <w:pStyle w:val="TableContents"/>
              <w:bidi w:val="0"/>
              <w:spacing w:before="0" w:after="283"/>
              <w:jc w:val="left"/>
              <w:rPr/>
            </w:pPr>
            <w:r>
              <w:rPr/>
              <w:t>* </w:t>
            </w:r>
          </w:p>
        </w:tc>
      </w:tr>
      <w:tr>
        <w:trPr/>
        <w:tc>
          <w:tcPr>
            <w:tcW w:w="5164"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5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327" w:type="dxa"/>
            <w:tcBorders/>
            <w:vAlign w:val="bottom"/>
          </w:tcPr>
          <w:p>
            <w:pPr>
              <w:pStyle w:val="TableContents"/>
              <w:bidi w:val="0"/>
              <w:spacing w:before="0" w:after="283"/>
              <w:jc w:val="left"/>
              <w:rPr/>
            </w:pPr>
            <w:r>
              <w:rPr/>
              <w:t>** </w:t>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283"/>
              <w:jc w:val="left"/>
              <w:rPr/>
            </w:pPr>
            <w:r>
              <w:rPr/>
              <w:t>** </w:t>
            </w:r>
          </w:p>
        </w:tc>
      </w:tr>
      <w:tr>
        <w:trPr/>
        <w:tc>
          <w:tcPr>
            <w:tcW w:w="516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327" w:type="dxa"/>
            <w:tcBorders/>
            <w:vAlign w:val="bottom"/>
          </w:tcPr>
          <w:p>
            <w:pPr>
              <w:pStyle w:val="TableContents"/>
              <w:bidi w:val="0"/>
              <w:spacing w:before="0" w:after="283"/>
              <w:jc w:val="left"/>
              <w:rPr/>
            </w:pPr>
            <w:r>
              <w:rPr/>
              <w:t>** </w:t>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5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283"/>
              <w:jc w:val="left"/>
              <w:rPr/>
            </w:pPr>
            <w:r>
              <w:rPr/>
              <w:t>** </w:t>
            </w:r>
          </w:p>
        </w:tc>
      </w:tr>
      <w:tr>
        <w:trPr/>
        <w:tc>
          <w:tcPr>
            <w:tcW w:w="5164"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5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327" w:type="dxa"/>
            <w:tcBorders/>
            <w:vAlign w:val="bottom"/>
          </w:tcPr>
          <w:p>
            <w:pPr>
              <w:pStyle w:val="TableContents"/>
              <w:bidi w:val="0"/>
              <w:spacing w:before="0" w:after="283"/>
              <w:jc w:val="left"/>
              <w:rPr/>
            </w:pPr>
            <w:r>
              <w:rPr/>
              <w:t>** </w:t>
            </w:r>
          </w:p>
        </w:tc>
      </w:tr>
      <w:tr>
        <w:trPr/>
        <w:tc>
          <w:tcPr>
            <w:tcW w:w="5164" w:type="dxa"/>
            <w:tcBorders/>
            <w:vAlign w:val="bottom"/>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Rules 456(b) and 457(r) of the Securities Act, we are deferring payment of the registration fee for the securities offered under this registration statement other than the $500,000,000 of our common stock that may be issued and sold from time to time under the sales agreement prospectus supplement.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a Delaware corporation. 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subsections of DGCL Section 145 provide that: </w:t>
      </w:r>
    </w:p>
    <w:p>
      <w:pPr>
        <w:pStyle w:val="TextBody"/>
        <w:bidi w:val="0"/>
        <w:spacing w:before="240" w:after="0"/>
        <w:jc w:val="left"/>
        <w:rPr>
          <w:rFonts w:ascii="Times New Roman" w:hAnsi="Times New Roman"/>
          <w:sz w:val="20"/>
        </w:rPr>
      </w:pPr>
      <w:r>
        <w:rPr>
          <w:rFonts w:ascii="Times New Roman" w:hAnsi="Times New Roman"/>
          <w:sz w:val="20"/>
        </w:rPr>
        <w:t xml:space="preserve">(1) to the extent a present or former director or officer of a corporation has been successful on the merits or otherwise in the defense of any action, suit or proceeding referred to in subsections (a) and (b) of Section 145 or </w:t>
      </w:r>
    </w:p>
    <w:p>
      <w:pPr>
        <w:pStyle w:val="TextBody"/>
        <w:bidi w:val="0"/>
        <w:spacing w:before="0" w:after="0"/>
        <w:jc w:val="left"/>
        <w:rPr>
          <w:rFonts w:ascii="Times New Roman" w:hAnsi="Times New Roman"/>
          <w:sz w:val="20"/>
        </w:rPr>
      </w:pPr>
      <w:r>
        <w:rPr>
          <w:rFonts w:ascii="Times New Roman" w:hAnsi="Times New Roman"/>
          <w:sz w:val="20"/>
        </w:rPr>
        <w:t xml:space="preserve">in the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(2) 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 </w:t>
      </w:r>
    </w:p>
    <w:p>
      <w:pPr>
        <w:pStyle w:val="TextBody"/>
        <w:bidi w:val="0"/>
        <w:spacing w:before="240" w:after="0"/>
        <w:jc w:val="left"/>
        <w:rPr>
          <w:rFonts w:ascii="Times New Roman" w:hAnsi="Times New Roman"/>
          <w:sz w:val="20"/>
        </w:rPr>
      </w:pPr>
      <w:r>
        <w:rPr>
          <w:rFonts w:ascii="Times New Roman" w:hAnsi="Times New Roman"/>
          <w:sz w:val="20"/>
        </w:rPr>
        <w:t xml:space="preserve">(3) 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Item 15, the term “proceeding” means any threatened, pending or completed action, suit or proceeding, whether or not by or in the right of the company, and whether civil, criminal, administrative, investigative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makes provision for the indemnification of officers and directors in terms sufficiently broad to indemnify officers and directors of the company under certain circumstances from liabilities (including reimbursement for expenses incurred) arising under the Securities Act. Provisions in the company’s charter and bylaws limit or eliminate the personal liability of the directors to the fullest extent permitted by the DGCL, as it now exists or may in the future be amended. Consequently, a director will not be personally liable to the company or the company’s stockholders for monetary damages 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the company or the company’s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company’s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indemnify our directors, officers and, in the discretion of our board of directors, certain employees to the fullest extent permitted by the DGCL, as it now exists or may in the future be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advance expenses, including attorneys’ fees, to directors and, in the discretion of the board of directors, to officers and certain employees, in connection with legal proceedings relating to their service for or on behalf of the company,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indemnification agreements with each of the directors and executive officers. These agreements provide that the company will indemnify each of the company’s directors and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officers to the fullest extent permitted by Delaware law. The company will advance expenses, including attorneys’ fees (but excluding judgments, fines and settlement amounts), to each indemnified director or executive officer in connection with any proceeding in which indemnification is available and the company will indemnify the directors and officers for any action or proceeding arising out of that person’s services as a director or officer brought on behalf of the company or in furtherance of our rights. Additionally, certain of the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company has agreed in the indemnification agreements that the company’s obligations to those same directors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general liability insurance which covers certain liabilities of the directors and officers arising out of claims based on acts or omissions in their capacities as directors or officers, including liabilities under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list of exhibits filed with this registration statement on Form S-3 is set forth on the Exhibit Index and is incorporated herein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2"/>
        <w:gridCol w:w="420"/>
        <w:gridCol w:w="8993"/>
      </w:tblGrid>
      <w:tr>
        <w:trPr/>
        <w:tc>
          <w:tcPr>
            <w:tcW w:w="792"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spacing w:before="0" w:after="283"/>
              <w:jc w:val="left"/>
              <w:rPr>
                <w:sz w:val="4"/>
                <w:szCs w:val="4"/>
              </w:rPr>
            </w:pPr>
            <w:r>
              <w:rPr>
                <w:sz w:val="4"/>
                <w:szCs w:val="4"/>
              </w:rPr>
            </w:r>
          </w:p>
        </w:tc>
      </w:tr>
      <w:tr>
        <w:trPr/>
        <w:tc>
          <w:tcPr>
            <w:tcW w:w="792" w:type="dxa"/>
            <w:tcBorders/>
            <w:vAlign w:val="bottom"/>
          </w:tcPr>
          <w:p>
            <w:pPr>
              <w:pStyle w:val="TableContents"/>
              <w:bidi w:val="0"/>
              <w:spacing w:before="0" w:after="283"/>
              <w:jc w:val="center"/>
              <w:rPr>
                <w:b/>
              </w:rPr>
            </w:pPr>
            <w:r>
              <w:rPr>
                <w:b/>
              </w:rPr>
              <w:t>Exhibit</w:t>
              <w:br/>
              <w:t>No.</w:t>
            </w:r>
          </w:p>
        </w:tc>
        <w:tc>
          <w:tcPr>
            <w:tcW w:w="420" w:type="dxa"/>
            <w:tcBorders/>
            <w:vAlign w:val="bottom"/>
          </w:tcPr>
          <w:p>
            <w:pPr>
              <w:pStyle w:val="TableContents"/>
              <w:bidi w:val="0"/>
              <w:spacing w:before="0" w:after="283"/>
              <w:jc w:val="left"/>
              <w:rPr/>
            </w:pPr>
            <w:r>
              <w:rPr/>
              <w:t>  </w:t>
            </w:r>
          </w:p>
        </w:tc>
        <w:tc>
          <w:tcPr>
            <w:tcW w:w="8993" w:type="dxa"/>
            <w:tcBorders/>
            <w:vAlign w:val="bottom"/>
          </w:tcPr>
          <w:p>
            <w:pPr>
              <w:pStyle w:val="TableContents"/>
              <w:bidi w:val="0"/>
              <w:spacing w:before="0" w:after="283"/>
              <w:jc w:val="left"/>
              <w:rPr>
                <w:b/>
              </w:rPr>
            </w:pPr>
            <w:r>
              <w:rPr>
                <w:b/>
              </w:rPr>
              <w:t>Description</w:t>
            </w:r>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1.1*</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r>
              <w:rPr/>
              <w:t>Form of Underwriting Agreement</w:t>
            </w:r>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1.2</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d184758dex12.htm">
              <w:r>
                <w:rPr>
                  <w:rStyle w:val="InternetLink"/>
                </w:rPr>
                <w:t xml:space="preserve">Sales Agreement, dated September 18, 2026, by and between Dianthus Therapeutics, Inc. and TD Securities (USA) LLC.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4.1</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25">
              <w:r>
                <w:rPr>
                  <w:rStyle w:val="InternetLink"/>
                </w:rPr>
                <w:t xml:space="preserve">Fifth Amended and Restated Certificate of Incorporation (incorporated by reference to Exhibit 3.1 to the Registrant’s Current Report on Form 8-K filed with the SEC on September 12, 2023).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4.2</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26">
              <w:r>
                <w:rPr>
                  <w:rStyle w:val="InternetLink"/>
                </w:rPr>
                <w:t xml:space="preserve">Third Amended and Restated By-laws (incorporated by reference to Exhibit 3.2 to the Registrant’s Annual Report on Form 10-K filed with the SEC on March 21, 2024).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4.3</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27">
              <w:r>
                <w:rPr>
                  <w:rStyle w:val="InternetLink"/>
                </w:rPr>
                <w:t xml:space="preserve">Form of Pre-Funded Warrant of Dianthus Therapeutics, Inc. (incorporated by reference to Exhibit 4.1 to the Registrant’s Current Report on Form 8-K filed with the SEC on September 12, 2023).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4.4</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28">
              <w:r>
                <w:rPr>
                  <w:rStyle w:val="InternetLink"/>
                </w:rPr>
                <w:t xml:space="preserve">Registration Rights Agreement, dated September  11, 2023, by and among Dianthus Therapeutics, Inc., Dianthus Therapeutics OpCo, Inc. and certain parties thereto (incorporated by reference to Exhibit 4.2 to the Registrant’s Current Report on Form 8-K filed with the SEC on September 12, 2023).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4.5</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29">
              <w:r>
                <w:rPr>
                  <w:rStyle w:val="InternetLink"/>
                </w:rPr>
                <w:t xml:space="preserve">Form of Pre-Funded Warrant of Dianthus Therapeutics, Inc. (incorporated by reference to Exhibit 4.1 to the Registrant’s Current Report on Form 8-K filed with the SEC on January 22, 2024).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4.6</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30">
              <w:r>
                <w:rPr>
                  <w:rStyle w:val="InternetLink"/>
                </w:rPr>
                <w:t xml:space="preserve">Registration Rights Agreement, dated January  22, 2024, by and among Dianthus Therapeutics, Inc. and certain parties thereto (incorporated by reference to Exhibit 10.2 to the Registrant’s Current Report on Form 8-K filed with the SEC on January  22, 2024).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4.7</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31">
              <w:r>
                <w:rPr>
                  <w:rStyle w:val="InternetLink"/>
                </w:rPr>
                <w:t xml:space="preserve">Form of Pre-Funded Warrant of Dianthus Therapeutics, Inc. (incorporated by reference to Exhibit 4.1 to the Registrant’s Current Report on Form 8-K filed with the SEC on September 11, 2025).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4.8</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32">
              <w:r>
                <w:rPr>
                  <w:rStyle w:val="InternetLink"/>
                </w:rPr>
                <w:t xml:space="preserve">Form of Pre-Funded Warrant of Dianthus Therapeutics, Inc. (incorporated by reference to Exhibit 4.1 to the Registrant’s Current Report on Form 8-K filed with the SEC on March 12, 2026).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4.9</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d184758dex49.htm">
              <w:r>
                <w:rPr>
                  <w:rStyle w:val="InternetLink"/>
                </w:rPr>
                <w:t xml:space="preserve">Form of Debt Indenture.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4.10*</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r>
              <w:rPr/>
              <w:t>Form of Debt Securities.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95"/>
        <w:gridCol w:w="519"/>
        <w:gridCol w:w="8891"/>
      </w:tblGrid>
      <w:tr>
        <w:trPr/>
        <w:tc>
          <w:tcPr>
            <w:tcW w:w="795"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891"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bottom"/>
          </w:tcPr>
          <w:p>
            <w:pPr>
              <w:pStyle w:val="TableContents"/>
              <w:bidi w:val="0"/>
              <w:spacing w:before="0" w:after="283"/>
              <w:jc w:val="center"/>
              <w:rPr>
                <w:b/>
              </w:rPr>
            </w:pPr>
            <w:r>
              <w:rPr>
                <w:b/>
              </w:rPr>
              <w:t>Exhibit</w:t>
              <w:br/>
              <w:t>No.</w:t>
            </w:r>
          </w:p>
        </w:tc>
        <w:tc>
          <w:tcPr>
            <w:tcW w:w="519" w:type="dxa"/>
            <w:tcBorders/>
            <w:vAlign w:val="bottom"/>
          </w:tcPr>
          <w:p>
            <w:pPr>
              <w:pStyle w:val="TableContents"/>
              <w:bidi w:val="0"/>
              <w:spacing w:before="0" w:after="283"/>
              <w:jc w:val="left"/>
              <w:rPr/>
            </w:pPr>
            <w:r>
              <w:rPr/>
              <w:t>  </w:t>
            </w:r>
          </w:p>
        </w:tc>
        <w:tc>
          <w:tcPr>
            <w:tcW w:w="8891" w:type="dxa"/>
            <w:tcBorders/>
            <w:vAlign w:val="bottom"/>
          </w:tcPr>
          <w:p>
            <w:pPr>
              <w:pStyle w:val="TableContents"/>
              <w:bidi w:val="0"/>
              <w:spacing w:before="0" w:after="283"/>
              <w:jc w:val="left"/>
              <w:rPr>
                <w:b/>
              </w:rPr>
            </w:pPr>
            <w:r>
              <w:rPr>
                <w:b/>
              </w:rPr>
              <w:t>Description</w:t>
            </w:r>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 </w:t>
            </w:r>
            <w:r>
              <w:rPr/>
              <w:t>4.11*</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r>
              <w:rPr/>
              <w:t>Form of Warrant Agreement and Warrant Certificate.</w:t>
            </w:r>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 </w:t>
            </w:r>
            <w:r>
              <w:rPr/>
              <w:t>4.12*</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r>
              <w:rPr/>
              <w:t>Form of Unit Agreement and Unit Certificate.</w:t>
            </w:r>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 </w:t>
            </w:r>
            <w:r>
              <w:rPr/>
              <w:t>5.1</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184758dex51.htm">
              <w:r>
                <w:rPr>
                  <w:rStyle w:val="InternetLink"/>
                </w:rPr>
                <w:t xml:space="preserve">Opinion of Gibson, Dunn &amp; Crutcher LLP, relating to base prospectus. </w:t>
              </w:r>
            </w:hyperlink>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 </w:t>
            </w:r>
            <w:r>
              <w:rPr/>
              <w:t>5.2</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184758dex52.htm">
              <w:r>
                <w:rPr>
                  <w:rStyle w:val="InternetLink"/>
                </w:rPr>
                <w:t xml:space="preserve">Opinion of Gibson, Dunn &amp; Crutcher LLP, relating to sales agreement prospectus supplement. </w:t>
              </w:r>
            </w:hyperlink>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23.1</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184758dex231.htm">
              <w:r>
                <w:rPr>
                  <w:rStyle w:val="InternetLink"/>
                </w:rPr>
                <w:t xml:space="preserve">Consent of Independent Registered Public Accounting Firm. </w:t>
              </w:r>
            </w:hyperlink>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23.2</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184758dex51.htm">
              <w:r>
                <w:rPr>
                  <w:rStyle w:val="InternetLink"/>
                </w:rPr>
                <w:t xml:space="preserve">Consent of Gibson, Dunn &amp; Crutcher LLP (see Exhibit 5.1). </w:t>
              </w:r>
            </w:hyperlink>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23.3</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184758dex52.htm">
              <w:r>
                <w:rPr>
                  <w:rStyle w:val="InternetLink"/>
                </w:rPr>
                <w:t xml:space="preserve">Consent of Gibson, Dunn &amp; Crutcher LLP (see Exhibit 5.2). </w:t>
              </w:r>
            </w:hyperlink>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24.1</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25.1**</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r>
              <w:rPr/>
              <w:t>Statement of Eligibility of Trustee under the Indenture.</w:t>
            </w:r>
          </w:p>
        </w:tc>
      </w:tr>
      <w:tr>
        <w:trPr>
          <w:trHeight w:val="120" w:hRule="atLeast"/>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tcPr>
          <w:p>
            <w:pPr>
              <w:pStyle w:val="TableContents"/>
              <w:bidi w:val="0"/>
              <w:spacing w:before="0" w:after="283"/>
              <w:jc w:val="left"/>
              <w:rPr/>
            </w:pPr>
            <w:r>
              <w:rPr/>
              <w:t>107</w:t>
            </w:r>
          </w:p>
        </w:tc>
        <w:tc>
          <w:tcPr>
            <w:tcW w:w="519"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184758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To be filed, if necessary, by amendment or as an exhibit to a document to be incorporated or deemed to be incorporated by reference in this registration statement, including a Current Report on Form 8-K.</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in accordance with the requirements of Section 305(b)(2) of the Trust Indenture Act of 1939, as amended, and the applicable rules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(j)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sig"/>
      <w:bookmarkEnd w:id="2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September 18,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Dianthus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Ryan Savitz</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Ryan Savitz</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EVP, Chief Financial Officer and</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Chief Business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constitutes and appoints Marino Garcia, Ryan Savitz and Adam Veness,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other documents in connection therewith, with the SEC, and generally to do all such things in their names and behalf in their capacities as officers and directors to enable Dianthus Therapeutics,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his or her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73"/>
        <w:gridCol w:w="120"/>
        <w:gridCol w:w="3486"/>
        <w:gridCol w:w="199"/>
        <w:gridCol w:w="2027"/>
      </w:tblGrid>
      <w:tr>
        <w:trPr/>
        <w:tc>
          <w:tcPr>
            <w:tcW w:w="43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86"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43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4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202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373" w:type="dxa"/>
            <w:tcBorders/>
            <w:vAlign w:val="center"/>
          </w:tcPr>
          <w:p>
            <w:pPr>
              <w:pStyle w:val="TableContents"/>
              <w:bidi w:val="0"/>
              <w:spacing w:before="0" w:after="283"/>
              <w:jc w:val="left"/>
              <w:rPr>
                <w:sz w:val="4"/>
                <w:szCs w:val="4"/>
              </w:rPr>
            </w:pPr>
            <w:r>
              <w:rPr>
                <w:sz w:val="4"/>
                <w:szCs w:val="4"/>
              </w:rPr>
            </w:r>
          </w:p>
        </w:tc>
        <w:tc>
          <w:tcPr>
            <w:tcW w:w="3606" w:type="dxa"/>
            <w:gridSpan w:val="2"/>
            <w:tcBorders/>
            <w:vAlign w:val="center"/>
          </w:tcPr>
          <w:p>
            <w:pPr>
              <w:pStyle w:val="TableContents"/>
              <w:bidi w:val="0"/>
              <w:spacing w:before="0" w:after="283"/>
              <w:jc w:val="left"/>
              <w:rPr>
                <w:sz w:val="4"/>
                <w:szCs w:val="4"/>
              </w:rPr>
            </w:pPr>
            <w:r>
              <w:rPr>
                <w:sz w:val="4"/>
                <w:szCs w:val="4"/>
              </w:rPr>
            </w:r>
          </w:p>
        </w:tc>
        <w:tc>
          <w:tcPr>
            <w:tcW w:w="2226" w:type="dxa"/>
            <w:gridSpan w:val="2"/>
            <w:tcBorders/>
            <w:vAlign w:val="center"/>
          </w:tcPr>
          <w:p>
            <w:pPr>
              <w:pStyle w:val="TableContents"/>
              <w:bidi w:val="0"/>
              <w:spacing w:before="0" w:after="283"/>
              <w:jc w:val="left"/>
              <w:rPr>
                <w:sz w:val="4"/>
                <w:szCs w:val="4"/>
              </w:rPr>
            </w:pPr>
            <w:r>
              <w:rPr>
                <w:sz w:val="4"/>
                <w:szCs w:val="4"/>
              </w:rPr>
            </w:r>
          </w:p>
        </w:tc>
      </w:tr>
      <w:tr>
        <w:trPr/>
        <w:tc>
          <w:tcPr>
            <w:tcW w:w="43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Marino Garcia</w:t>
            </w:r>
          </w:p>
          <w:p>
            <w:pPr>
              <w:pStyle w:val="TableContents"/>
              <w:bidi w:val="0"/>
              <w:spacing w:before="0" w:after="20"/>
              <w:jc w:val="center"/>
              <w:rPr>
                <w:rFonts w:ascii="Times New Roman" w:hAnsi="Times New Roman"/>
                <w:sz w:val="20"/>
              </w:rPr>
            </w:pPr>
            <w:r>
              <w:rPr>
                <w:rFonts w:ascii="Times New Roman" w:hAnsi="Times New Roman"/>
                <w:sz w:val="20"/>
              </w:rPr>
              <w:t>Marino Garcia</w:t>
            </w:r>
          </w:p>
        </w:tc>
        <w:tc>
          <w:tcPr>
            <w:tcW w:w="120" w:type="dxa"/>
            <w:tcBorders/>
            <w:vAlign w:val="bottom"/>
          </w:tcPr>
          <w:p>
            <w:pPr>
              <w:pStyle w:val="TableContents"/>
              <w:bidi w:val="0"/>
              <w:spacing w:before="0" w:after="283"/>
              <w:jc w:val="left"/>
              <w:rPr/>
            </w:pPr>
            <w:r>
              <w:rPr/>
              <w:t>  </w:t>
            </w:r>
          </w:p>
        </w:tc>
        <w:tc>
          <w:tcPr>
            <w:tcW w:w="3486"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99"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September 18, 2026</w:t>
            </w:r>
          </w:p>
        </w:tc>
      </w:tr>
      <w:tr>
        <w:trPr>
          <w:trHeight w:val="240" w:hRule="atLeast"/>
        </w:trPr>
        <w:tc>
          <w:tcPr>
            <w:tcW w:w="4373" w:type="dxa"/>
            <w:tcBorders/>
            <w:vAlign w:val="center"/>
          </w:tcPr>
          <w:p>
            <w:pPr>
              <w:pStyle w:val="TableContents"/>
              <w:bidi w:val="0"/>
              <w:spacing w:before="0" w:after="283"/>
              <w:jc w:val="left"/>
              <w:rPr>
                <w:sz w:val="4"/>
                <w:szCs w:val="4"/>
              </w:rPr>
            </w:pPr>
            <w:r>
              <w:rPr>
                <w:sz w:val="4"/>
                <w:szCs w:val="4"/>
              </w:rPr>
            </w:r>
          </w:p>
        </w:tc>
        <w:tc>
          <w:tcPr>
            <w:tcW w:w="3606" w:type="dxa"/>
            <w:gridSpan w:val="2"/>
            <w:tcBorders/>
            <w:vAlign w:val="center"/>
          </w:tcPr>
          <w:p>
            <w:pPr>
              <w:pStyle w:val="TableContents"/>
              <w:bidi w:val="0"/>
              <w:spacing w:before="0" w:after="283"/>
              <w:jc w:val="left"/>
              <w:rPr>
                <w:sz w:val="4"/>
                <w:szCs w:val="4"/>
              </w:rPr>
            </w:pPr>
            <w:r>
              <w:rPr>
                <w:sz w:val="4"/>
                <w:szCs w:val="4"/>
              </w:rPr>
            </w:r>
          </w:p>
        </w:tc>
        <w:tc>
          <w:tcPr>
            <w:tcW w:w="2226" w:type="dxa"/>
            <w:gridSpan w:val="2"/>
            <w:tcBorders/>
            <w:vAlign w:val="center"/>
          </w:tcPr>
          <w:p>
            <w:pPr>
              <w:pStyle w:val="TableContents"/>
              <w:bidi w:val="0"/>
              <w:spacing w:before="0" w:after="283"/>
              <w:jc w:val="left"/>
              <w:rPr>
                <w:sz w:val="4"/>
                <w:szCs w:val="4"/>
              </w:rPr>
            </w:pPr>
            <w:r>
              <w:rPr>
                <w:sz w:val="4"/>
                <w:szCs w:val="4"/>
              </w:rPr>
            </w:r>
          </w:p>
        </w:tc>
      </w:tr>
      <w:tr>
        <w:trPr/>
        <w:tc>
          <w:tcPr>
            <w:tcW w:w="43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Ryan Savitz</w:t>
            </w:r>
          </w:p>
          <w:p>
            <w:pPr>
              <w:pStyle w:val="TableContents"/>
              <w:bidi w:val="0"/>
              <w:spacing w:before="0" w:after="20"/>
              <w:jc w:val="center"/>
              <w:rPr>
                <w:rFonts w:ascii="Times New Roman" w:hAnsi="Times New Roman"/>
                <w:sz w:val="20"/>
              </w:rPr>
            </w:pPr>
            <w:r>
              <w:rPr>
                <w:rFonts w:ascii="Times New Roman" w:hAnsi="Times New Roman"/>
                <w:sz w:val="20"/>
              </w:rPr>
              <w:t>Ryan Savitz</w:t>
            </w:r>
          </w:p>
        </w:tc>
        <w:tc>
          <w:tcPr>
            <w:tcW w:w="120" w:type="dxa"/>
            <w:tcBorders/>
            <w:vAlign w:val="bottom"/>
          </w:tcPr>
          <w:p>
            <w:pPr>
              <w:pStyle w:val="TableContents"/>
              <w:bidi w:val="0"/>
              <w:spacing w:before="0" w:after="283"/>
              <w:jc w:val="left"/>
              <w:rPr/>
            </w:pPr>
            <w:r>
              <w:rPr/>
              <w:t>  </w:t>
            </w:r>
          </w:p>
        </w:tc>
        <w:tc>
          <w:tcPr>
            <w:tcW w:w="3486" w:type="dxa"/>
            <w:tcBorders/>
          </w:tcPr>
          <w:p>
            <w:pPr>
              <w:pStyle w:val="TableContents"/>
              <w:bidi w:val="0"/>
              <w:spacing w:before="0" w:after="0"/>
              <w:jc w:val="left"/>
              <w:rPr>
                <w:rFonts w:ascii="Times New Roman" w:hAnsi="Times New Roman"/>
                <w:sz w:val="20"/>
              </w:rPr>
            </w:pPr>
            <w:r>
              <w:rPr>
                <w:rFonts w:ascii="Times New Roman" w:hAnsi="Times New Roman"/>
                <w:sz w:val="20"/>
              </w:rPr>
              <w:t>EVP, Chief Financial Officer and Chief Business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199"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September 18, 2026</w:t>
            </w:r>
          </w:p>
        </w:tc>
      </w:tr>
      <w:tr>
        <w:trPr>
          <w:trHeight w:val="240" w:hRule="atLeast"/>
        </w:trPr>
        <w:tc>
          <w:tcPr>
            <w:tcW w:w="4373" w:type="dxa"/>
            <w:tcBorders/>
            <w:vAlign w:val="center"/>
          </w:tcPr>
          <w:p>
            <w:pPr>
              <w:pStyle w:val="TableContents"/>
              <w:bidi w:val="0"/>
              <w:spacing w:before="0" w:after="283"/>
              <w:jc w:val="left"/>
              <w:rPr>
                <w:sz w:val="4"/>
                <w:szCs w:val="4"/>
              </w:rPr>
            </w:pPr>
            <w:r>
              <w:rPr>
                <w:sz w:val="4"/>
                <w:szCs w:val="4"/>
              </w:rPr>
            </w:r>
          </w:p>
        </w:tc>
        <w:tc>
          <w:tcPr>
            <w:tcW w:w="3606" w:type="dxa"/>
            <w:gridSpan w:val="2"/>
            <w:tcBorders/>
            <w:vAlign w:val="center"/>
          </w:tcPr>
          <w:p>
            <w:pPr>
              <w:pStyle w:val="TableContents"/>
              <w:bidi w:val="0"/>
              <w:spacing w:before="0" w:after="283"/>
              <w:jc w:val="left"/>
              <w:rPr>
                <w:sz w:val="4"/>
                <w:szCs w:val="4"/>
              </w:rPr>
            </w:pPr>
            <w:r>
              <w:rPr>
                <w:sz w:val="4"/>
                <w:szCs w:val="4"/>
              </w:rPr>
            </w:r>
          </w:p>
        </w:tc>
        <w:tc>
          <w:tcPr>
            <w:tcW w:w="2226" w:type="dxa"/>
            <w:gridSpan w:val="2"/>
            <w:tcBorders/>
            <w:vAlign w:val="center"/>
          </w:tcPr>
          <w:p>
            <w:pPr>
              <w:pStyle w:val="TableContents"/>
              <w:bidi w:val="0"/>
              <w:spacing w:before="0" w:after="283"/>
              <w:jc w:val="left"/>
              <w:rPr>
                <w:sz w:val="4"/>
                <w:szCs w:val="4"/>
              </w:rPr>
            </w:pPr>
            <w:r>
              <w:rPr>
                <w:sz w:val="4"/>
                <w:szCs w:val="4"/>
              </w:rPr>
            </w:r>
          </w:p>
        </w:tc>
      </w:tr>
      <w:tr>
        <w:trPr/>
        <w:tc>
          <w:tcPr>
            <w:tcW w:w="43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Edward Carr</w:t>
            </w:r>
          </w:p>
          <w:p>
            <w:pPr>
              <w:pStyle w:val="TableContents"/>
              <w:bidi w:val="0"/>
              <w:spacing w:before="0" w:after="20"/>
              <w:jc w:val="center"/>
              <w:rPr>
                <w:rFonts w:ascii="Times New Roman" w:hAnsi="Times New Roman"/>
                <w:sz w:val="20"/>
              </w:rPr>
            </w:pPr>
            <w:r>
              <w:rPr>
                <w:rFonts w:ascii="Times New Roman" w:hAnsi="Times New Roman"/>
                <w:sz w:val="20"/>
              </w:rPr>
              <w:t>Edward Carr</w:t>
            </w:r>
          </w:p>
        </w:tc>
        <w:tc>
          <w:tcPr>
            <w:tcW w:w="120" w:type="dxa"/>
            <w:tcBorders/>
            <w:vAlign w:val="bottom"/>
          </w:tcPr>
          <w:p>
            <w:pPr>
              <w:pStyle w:val="TableContents"/>
              <w:bidi w:val="0"/>
              <w:spacing w:before="0" w:after="283"/>
              <w:jc w:val="left"/>
              <w:rPr/>
            </w:pPr>
            <w:r>
              <w:rPr/>
              <w:t>  </w:t>
            </w:r>
          </w:p>
        </w:tc>
        <w:tc>
          <w:tcPr>
            <w:tcW w:w="3486"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199"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September 18, 2026</w:t>
            </w:r>
          </w:p>
        </w:tc>
      </w:tr>
      <w:tr>
        <w:trPr>
          <w:trHeight w:val="240" w:hRule="atLeast"/>
        </w:trPr>
        <w:tc>
          <w:tcPr>
            <w:tcW w:w="4373" w:type="dxa"/>
            <w:tcBorders/>
            <w:vAlign w:val="center"/>
          </w:tcPr>
          <w:p>
            <w:pPr>
              <w:pStyle w:val="TableContents"/>
              <w:bidi w:val="0"/>
              <w:spacing w:before="0" w:after="283"/>
              <w:jc w:val="left"/>
              <w:rPr>
                <w:sz w:val="4"/>
                <w:szCs w:val="4"/>
              </w:rPr>
            </w:pPr>
            <w:r>
              <w:rPr>
                <w:sz w:val="4"/>
                <w:szCs w:val="4"/>
              </w:rPr>
            </w:r>
          </w:p>
        </w:tc>
        <w:tc>
          <w:tcPr>
            <w:tcW w:w="3606" w:type="dxa"/>
            <w:gridSpan w:val="2"/>
            <w:tcBorders/>
            <w:vAlign w:val="center"/>
          </w:tcPr>
          <w:p>
            <w:pPr>
              <w:pStyle w:val="TableContents"/>
              <w:bidi w:val="0"/>
              <w:spacing w:before="0" w:after="283"/>
              <w:jc w:val="left"/>
              <w:rPr>
                <w:sz w:val="4"/>
                <w:szCs w:val="4"/>
              </w:rPr>
            </w:pPr>
            <w:r>
              <w:rPr>
                <w:sz w:val="4"/>
                <w:szCs w:val="4"/>
              </w:rPr>
            </w:r>
          </w:p>
        </w:tc>
        <w:tc>
          <w:tcPr>
            <w:tcW w:w="2226" w:type="dxa"/>
            <w:gridSpan w:val="2"/>
            <w:tcBorders/>
            <w:vAlign w:val="center"/>
          </w:tcPr>
          <w:p>
            <w:pPr>
              <w:pStyle w:val="TableContents"/>
              <w:bidi w:val="0"/>
              <w:spacing w:before="0" w:after="283"/>
              <w:jc w:val="left"/>
              <w:rPr>
                <w:sz w:val="4"/>
                <w:szCs w:val="4"/>
              </w:rPr>
            </w:pPr>
            <w:r>
              <w:rPr>
                <w:sz w:val="4"/>
                <w:szCs w:val="4"/>
              </w:rPr>
            </w:r>
          </w:p>
        </w:tc>
      </w:tr>
      <w:tr>
        <w:trPr/>
        <w:tc>
          <w:tcPr>
            <w:tcW w:w="43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Alison F. Lawton</w:t>
            </w:r>
          </w:p>
          <w:p>
            <w:pPr>
              <w:pStyle w:val="TableContents"/>
              <w:bidi w:val="0"/>
              <w:spacing w:before="0" w:after="20"/>
              <w:jc w:val="center"/>
              <w:rPr>
                <w:rFonts w:ascii="Times New Roman" w:hAnsi="Times New Roman"/>
                <w:sz w:val="20"/>
              </w:rPr>
            </w:pPr>
            <w:r>
              <w:rPr>
                <w:rFonts w:ascii="Times New Roman" w:hAnsi="Times New Roman"/>
                <w:sz w:val="20"/>
              </w:rPr>
              <w:t>Alison F. Lawton</w:t>
            </w:r>
          </w:p>
        </w:tc>
        <w:tc>
          <w:tcPr>
            <w:tcW w:w="120" w:type="dxa"/>
            <w:tcBorders/>
            <w:vAlign w:val="bottom"/>
          </w:tcPr>
          <w:p>
            <w:pPr>
              <w:pStyle w:val="TableContents"/>
              <w:bidi w:val="0"/>
              <w:spacing w:before="0" w:after="283"/>
              <w:jc w:val="left"/>
              <w:rPr/>
            </w:pPr>
            <w:r>
              <w:rPr/>
              <w:t>  </w:t>
            </w:r>
          </w:p>
        </w:tc>
        <w:tc>
          <w:tcPr>
            <w:tcW w:w="3486" w:type="dxa"/>
            <w:tcBorders/>
          </w:tcPr>
          <w:p>
            <w:pPr>
              <w:pStyle w:val="TableContents"/>
              <w:bidi w:val="0"/>
              <w:spacing w:before="0" w:after="0"/>
              <w:jc w:val="left"/>
              <w:rPr>
                <w:rFonts w:ascii="Times New Roman" w:hAnsi="Times New Roman"/>
                <w:sz w:val="20"/>
              </w:rPr>
            </w:pPr>
            <w:r>
              <w:rPr>
                <w:rFonts w:ascii="Times New Roman" w:hAnsi="Times New Roman"/>
                <w:sz w:val="20"/>
              </w:rPr>
              <w:t>Director and Chair of the Board</w:t>
            </w:r>
          </w:p>
        </w:tc>
        <w:tc>
          <w:tcPr>
            <w:tcW w:w="199"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September 18,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440"/>
        <w:gridCol w:w="120"/>
        <w:gridCol w:w="3413"/>
        <w:gridCol w:w="199"/>
        <w:gridCol w:w="2033"/>
      </w:tblGrid>
      <w:tr>
        <w:trPr/>
        <w:tc>
          <w:tcPr>
            <w:tcW w:w="4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444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41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203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440" w:type="dxa"/>
            <w:tcBorders/>
            <w:vAlign w:val="center"/>
          </w:tcPr>
          <w:p>
            <w:pPr>
              <w:pStyle w:val="TableContents"/>
              <w:bidi w:val="0"/>
              <w:spacing w:before="0" w:after="283"/>
              <w:jc w:val="left"/>
              <w:rPr>
                <w:sz w:val="4"/>
                <w:szCs w:val="4"/>
              </w:rPr>
            </w:pPr>
            <w:r>
              <w:rPr>
                <w:sz w:val="4"/>
                <w:szCs w:val="4"/>
              </w:rPr>
            </w:r>
          </w:p>
        </w:tc>
        <w:tc>
          <w:tcPr>
            <w:tcW w:w="3533"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Sujay Kango</w:t>
            </w:r>
          </w:p>
          <w:p>
            <w:pPr>
              <w:pStyle w:val="TableContents"/>
              <w:bidi w:val="0"/>
              <w:spacing w:before="0" w:after="20"/>
              <w:jc w:val="center"/>
              <w:rPr>
                <w:rFonts w:ascii="Times New Roman" w:hAnsi="Times New Roman"/>
                <w:sz w:val="20"/>
              </w:rPr>
            </w:pPr>
            <w:r>
              <w:rPr>
                <w:rFonts w:ascii="Times New Roman" w:hAnsi="Times New Roman"/>
                <w:sz w:val="20"/>
              </w:rPr>
              <w:t>Sujay Kango</w:t>
            </w:r>
          </w:p>
        </w:tc>
        <w:tc>
          <w:tcPr>
            <w:tcW w:w="12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2033" w:type="dxa"/>
            <w:tcBorders/>
          </w:tcPr>
          <w:p>
            <w:pPr>
              <w:pStyle w:val="TableContents"/>
              <w:bidi w:val="0"/>
              <w:spacing w:before="0" w:after="283"/>
              <w:jc w:val="center"/>
              <w:rPr/>
            </w:pPr>
            <w:r>
              <w:rPr/>
              <w:t>September 18, 2026</w:t>
            </w:r>
          </w:p>
        </w:tc>
      </w:tr>
      <w:tr>
        <w:trPr>
          <w:trHeight w:val="240" w:hRule="atLeast"/>
        </w:trPr>
        <w:tc>
          <w:tcPr>
            <w:tcW w:w="4440" w:type="dxa"/>
            <w:tcBorders/>
            <w:vAlign w:val="center"/>
          </w:tcPr>
          <w:p>
            <w:pPr>
              <w:pStyle w:val="TableContents"/>
              <w:bidi w:val="0"/>
              <w:spacing w:before="0" w:after="283"/>
              <w:jc w:val="left"/>
              <w:rPr>
                <w:sz w:val="4"/>
                <w:szCs w:val="4"/>
              </w:rPr>
            </w:pPr>
            <w:r>
              <w:rPr>
                <w:sz w:val="4"/>
                <w:szCs w:val="4"/>
              </w:rPr>
            </w:r>
          </w:p>
        </w:tc>
        <w:tc>
          <w:tcPr>
            <w:tcW w:w="3533"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Anne McGeorge</w:t>
            </w:r>
          </w:p>
          <w:p>
            <w:pPr>
              <w:pStyle w:val="TableContents"/>
              <w:bidi w:val="0"/>
              <w:spacing w:before="0" w:after="20"/>
              <w:jc w:val="center"/>
              <w:rPr>
                <w:rFonts w:ascii="Times New Roman" w:hAnsi="Times New Roman"/>
                <w:sz w:val="20"/>
              </w:rPr>
            </w:pPr>
            <w:r>
              <w:rPr>
                <w:rFonts w:ascii="Times New Roman" w:hAnsi="Times New Roman"/>
                <w:sz w:val="20"/>
              </w:rPr>
              <w:t>Anne McGeorge</w:t>
            </w:r>
          </w:p>
        </w:tc>
        <w:tc>
          <w:tcPr>
            <w:tcW w:w="12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2033" w:type="dxa"/>
            <w:tcBorders/>
          </w:tcPr>
          <w:p>
            <w:pPr>
              <w:pStyle w:val="TableContents"/>
              <w:bidi w:val="0"/>
              <w:spacing w:before="0" w:after="283"/>
              <w:jc w:val="center"/>
              <w:rPr/>
            </w:pPr>
            <w:r>
              <w:rPr/>
              <w:t>September 18, 2026</w:t>
            </w:r>
          </w:p>
        </w:tc>
      </w:tr>
      <w:tr>
        <w:trPr>
          <w:trHeight w:val="240" w:hRule="atLeast"/>
        </w:trPr>
        <w:tc>
          <w:tcPr>
            <w:tcW w:w="4440" w:type="dxa"/>
            <w:tcBorders/>
            <w:vAlign w:val="center"/>
          </w:tcPr>
          <w:p>
            <w:pPr>
              <w:pStyle w:val="TableContents"/>
              <w:bidi w:val="0"/>
              <w:spacing w:before="0" w:after="283"/>
              <w:jc w:val="left"/>
              <w:rPr>
                <w:sz w:val="4"/>
                <w:szCs w:val="4"/>
              </w:rPr>
            </w:pPr>
            <w:r>
              <w:rPr>
                <w:sz w:val="4"/>
                <w:szCs w:val="4"/>
              </w:rPr>
            </w:r>
          </w:p>
        </w:tc>
        <w:tc>
          <w:tcPr>
            <w:tcW w:w="3533"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Simon Read, Ph.D.</w:t>
            </w:r>
          </w:p>
          <w:p>
            <w:pPr>
              <w:pStyle w:val="TableContents"/>
              <w:bidi w:val="0"/>
              <w:spacing w:before="0" w:after="20"/>
              <w:jc w:val="center"/>
              <w:rPr>
                <w:rFonts w:ascii="Times New Roman" w:hAnsi="Times New Roman"/>
                <w:sz w:val="20"/>
              </w:rPr>
            </w:pPr>
            <w:r>
              <w:rPr>
                <w:rFonts w:ascii="Times New Roman" w:hAnsi="Times New Roman"/>
                <w:sz w:val="20"/>
              </w:rPr>
              <w:t>Simon Read, Ph.D.</w:t>
            </w:r>
          </w:p>
        </w:tc>
        <w:tc>
          <w:tcPr>
            <w:tcW w:w="12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2033" w:type="dxa"/>
            <w:tcBorders/>
          </w:tcPr>
          <w:p>
            <w:pPr>
              <w:pStyle w:val="TableContents"/>
              <w:bidi w:val="0"/>
              <w:spacing w:before="0" w:after="283"/>
              <w:jc w:val="center"/>
              <w:rPr/>
            </w:pPr>
            <w:r>
              <w:rPr/>
              <w:t>September 18, 2026</w:t>
            </w:r>
          </w:p>
        </w:tc>
      </w:tr>
      <w:tr>
        <w:trPr>
          <w:trHeight w:val="240" w:hRule="atLeast"/>
        </w:trPr>
        <w:tc>
          <w:tcPr>
            <w:tcW w:w="4440" w:type="dxa"/>
            <w:tcBorders/>
            <w:vAlign w:val="center"/>
          </w:tcPr>
          <w:p>
            <w:pPr>
              <w:pStyle w:val="TableContents"/>
              <w:bidi w:val="0"/>
              <w:spacing w:before="0" w:after="283"/>
              <w:jc w:val="left"/>
              <w:rPr>
                <w:sz w:val="4"/>
                <w:szCs w:val="4"/>
              </w:rPr>
            </w:pPr>
            <w:r>
              <w:rPr>
                <w:sz w:val="4"/>
                <w:szCs w:val="4"/>
              </w:rPr>
            </w:r>
          </w:p>
        </w:tc>
        <w:tc>
          <w:tcPr>
            <w:tcW w:w="3533"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Romano, M.D.</w:t>
            </w:r>
          </w:p>
          <w:p>
            <w:pPr>
              <w:pStyle w:val="TableContents"/>
              <w:bidi w:val="0"/>
              <w:spacing w:before="0" w:after="20"/>
              <w:jc w:val="center"/>
              <w:rPr>
                <w:rFonts w:ascii="Times New Roman" w:hAnsi="Times New Roman"/>
                <w:sz w:val="20"/>
              </w:rPr>
            </w:pPr>
            <w:r>
              <w:rPr>
                <w:rFonts w:ascii="Times New Roman" w:hAnsi="Times New Roman"/>
                <w:sz w:val="20"/>
              </w:rPr>
              <w:t>Steven Romano, M.D.</w:t>
            </w:r>
          </w:p>
        </w:tc>
        <w:tc>
          <w:tcPr>
            <w:tcW w:w="12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2033" w:type="dxa"/>
            <w:tcBorders/>
          </w:tcPr>
          <w:p>
            <w:pPr>
              <w:pStyle w:val="TableContents"/>
              <w:bidi w:val="0"/>
              <w:spacing w:before="0" w:after="283"/>
              <w:jc w:val="center"/>
              <w:rPr/>
            </w:pPr>
            <w:r>
              <w:rPr/>
              <w:t>September 18, 2026</w:t>
            </w:r>
          </w:p>
        </w:tc>
      </w:tr>
      <w:tr>
        <w:trPr>
          <w:trHeight w:val="240" w:hRule="atLeast"/>
        </w:trPr>
        <w:tc>
          <w:tcPr>
            <w:tcW w:w="4440" w:type="dxa"/>
            <w:tcBorders/>
            <w:vAlign w:val="center"/>
          </w:tcPr>
          <w:p>
            <w:pPr>
              <w:pStyle w:val="TableContents"/>
              <w:bidi w:val="0"/>
              <w:spacing w:before="0" w:after="283"/>
              <w:jc w:val="left"/>
              <w:rPr>
                <w:sz w:val="4"/>
                <w:szCs w:val="4"/>
              </w:rPr>
            </w:pPr>
            <w:r>
              <w:rPr>
                <w:sz w:val="4"/>
                <w:szCs w:val="4"/>
              </w:rPr>
            </w:r>
          </w:p>
        </w:tc>
        <w:tc>
          <w:tcPr>
            <w:tcW w:w="3533"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Paula Soteropoulos</w:t>
            </w:r>
          </w:p>
          <w:p>
            <w:pPr>
              <w:pStyle w:val="TableContents"/>
              <w:bidi w:val="0"/>
              <w:spacing w:before="0" w:after="20"/>
              <w:jc w:val="center"/>
              <w:rPr>
                <w:rFonts w:ascii="Times New Roman" w:hAnsi="Times New Roman"/>
                <w:sz w:val="20"/>
              </w:rPr>
            </w:pPr>
            <w:r>
              <w:rPr>
                <w:rFonts w:ascii="Times New Roman" w:hAnsi="Times New Roman"/>
                <w:sz w:val="20"/>
              </w:rPr>
              <w:t>Paula Soteropoulos</w:t>
            </w:r>
          </w:p>
        </w:tc>
        <w:tc>
          <w:tcPr>
            <w:tcW w:w="12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2033" w:type="dxa"/>
            <w:tcBorders/>
          </w:tcPr>
          <w:p>
            <w:pPr>
              <w:pStyle w:val="TableContents"/>
              <w:bidi w:val="0"/>
              <w:spacing w:before="0" w:after="283"/>
              <w:jc w:val="center"/>
              <w:rPr/>
            </w:pPr>
            <w:r>
              <w:rPr/>
              <w:t>September 18, 2026</w:t>
            </w:r>
          </w:p>
        </w:tc>
      </w:tr>
      <w:tr>
        <w:trPr>
          <w:trHeight w:val="240" w:hRule="atLeast"/>
        </w:trPr>
        <w:tc>
          <w:tcPr>
            <w:tcW w:w="4440" w:type="dxa"/>
            <w:tcBorders/>
            <w:vAlign w:val="center"/>
          </w:tcPr>
          <w:p>
            <w:pPr>
              <w:pStyle w:val="TableContents"/>
              <w:bidi w:val="0"/>
              <w:spacing w:before="0" w:after="283"/>
              <w:jc w:val="left"/>
              <w:rPr>
                <w:sz w:val="4"/>
                <w:szCs w:val="4"/>
              </w:rPr>
            </w:pPr>
            <w:r>
              <w:rPr>
                <w:sz w:val="4"/>
                <w:szCs w:val="4"/>
              </w:rPr>
            </w:r>
          </w:p>
        </w:tc>
        <w:tc>
          <w:tcPr>
            <w:tcW w:w="3533"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Violin, Ph.D.</w:t>
            </w:r>
          </w:p>
          <w:p>
            <w:pPr>
              <w:pStyle w:val="TableContents"/>
              <w:bidi w:val="0"/>
              <w:spacing w:before="0" w:after="20"/>
              <w:jc w:val="center"/>
              <w:rPr>
                <w:rFonts w:ascii="Times New Roman" w:hAnsi="Times New Roman"/>
                <w:sz w:val="20"/>
              </w:rPr>
            </w:pPr>
            <w:r>
              <w:rPr>
                <w:rFonts w:ascii="Times New Roman" w:hAnsi="Times New Roman"/>
                <w:sz w:val="20"/>
              </w:rPr>
              <w:t>Jonathan Violin, Ph.D.</w:t>
            </w:r>
          </w:p>
        </w:tc>
        <w:tc>
          <w:tcPr>
            <w:tcW w:w="12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2033" w:type="dxa"/>
            <w:tcBorders/>
          </w:tcPr>
          <w:p>
            <w:pPr>
              <w:pStyle w:val="TableContents"/>
              <w:bidi w:val="0"/>
              <w:spacing w:before="0" w:after="283"/>
              <w:jc w:val="center"/>
              <w:rPr/>
            </w:pPr>
            <w:r>
              <w:rPr/>
              <w:t>September 18,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p>
    <w:p>
      <w:pPr>
        <w:pStyle w:val="TextBody"/>
        <w:bidi w:val="0"/>
        <w:spacing w:before="0" w:after="0"/>
        <w:jc w:val="right"/>
        <w:rPr>
          <w:rFonts w:ascii="Times New Roman" w:hAnsi="Times New Roman"/>
          <w:b/>
          <w:sz w:val="20"/>
        </w:rPr>
      </w:pPr>
      <w:bookmarkStart w:id="28" w:name="d184758dex12.htm"/>
      <w:bookmarkStart w:id="29" w:name="ksd184758dex12"/>
      <w:bookmarkEnd w:id="28"/>
      <w:bookmarkEnd w:id="29"/>
      <w:r>
        <w:rPr>
          <w:rFonts w:ascii="Times New Roman" w:hAnsi="Times New Roman"/>
          <w:b/>
          <w:sz w:val="20"/>
        </w:rPr>
        <w:t xml:space="preserve">Exhibit 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DIANTHUS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18, 2026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Dianthus Therapeutics, Inc., a Delaware corporation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TD Securities (USA) LLC (“</w:t>
      </w:r>
      <w:r>
        <w:rPr>
          <w:rFonts w:ascii="Times New Roman" w:hAnsi="Times New Roman"/>
          <w:b/>
          <w:sz w:val="20"/>
          <w:u w:val="single"/>
        </w:rPr>
        <w:t>TD Cowen</w:t>
      </w:r>
      <w:r>
        <w:rPr>
          <w:rFonts w:ascii="Times New Roman" w:hAnsi="Times New Roman"/>
          <w:sz w:val="20"/>
        </w:rPr>
        <w:t xml:space="preserve">”), as follows: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through TD Cowen, acting as agent and/or principal, shares (the “</w:t>
      </w:r>
      <w:r>
        <w:rPr>
          <w:rFonts w:ascii="Times New Roman" w:hAnsi="Times New Roman"/>
          <w:b/>
          <w:sz w:val="20"/>
          <w:u w:val="single"/>
        </w:rPr>
        <w:t>Placement Shares</w:t>
      </w:r>
      <w:r>
        <w:rPr>
          <w:rFonts w:ascii="Times New Roman" w:hAnsi="Times New Roman"/>
          <w:sz w:val="20"/>
        </w:rPr>
        <w:t>”) of the Company’s common stock, par value $0.001 per share (the “</w:t>
      </w:r>
      <w:r>
        <w:rPr>
          <w:rFonts w:ascii="Times New Roman" w:hAnsi="Times New Roman"/>
          <w:b/>
          <w:sz w:val="20"/>
          <w:u w:val="single"/>
        </w:rPr>
        <w:t>Common Stock</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in no event shall the Company issue or sell through or to TD Cowen such number or dollar amount of Common Stock that would exceed the lesser of (a) the number or dollar amount of authorized but unissued Common Stock registered under the Registration Statement (as defined below) pursuant to which the offering is being made, (b) the number of authorized but unissued Common Stock (less Common Stock issuable upon exercise, conversion or exchange of any outstanding securities of the Company or otherwise reserved from the Company’s authorized share capital), (c) the number or dollar amount of Common Stock permitted to be sold under a registration statement on Form S-3 (including General Instruction I.B.6 thereof, if applicable), or (d) the number or dollar amount of Common Stock for which the Company has filed a Prospectus (as defined below). Notwithstanding anything to the contrary contained herein, the parties hereto agree that compliance with the limitation set forth in this </w:t>
      </w:r>
      <w:r>
        <w:rPr>
          <w:rFonts w:ascii="Times New Roman" w:hAnsi="Times New Roman"/>
          <w:sz w:val="20"/>
          <w:u w:val="single"/>
        </w:rPr>
        <w:t>Section 1</w:t>
      </w:r>
      <w:r>
        <w:rPr>
          <w:rFonts w:ascii="Times New Roman" w:hAnsi="Times New Roman"/>
          <w:sz w:val="20"/>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automatically effective upon filing with the Securities and Exchange Commission (the “</w:t>
      </w:r>
      <w:r>
        <w:rPr>
          <w:rFonts w:ascii="Times New Roman" w:hAnsi="Times New Roman"/>
          <w:b/>
          <w:sz w:val="20"/>
          <w:u w:val="single"/>
        </w:rPr>
        <w:t>Commission</w:t>
      </w:r>
      <w:r>
        <w:rPr>
          <w:rFonts w:ascii="Times New Roman" w:hAnsi="Times New Roman"/>
          <w:sz w:val="20"/>
        </w:rPr>
        <w:t xml:space="preserve">”), although nothing in this Agreement shall be construed as requiring the Company to use the Registration Statement (as defined below) to issue the Placement Shares. The Company acknowledges and agrees that sales of Placement Shares under this Agreement may be made through affiliates of TD Cowen and that TD Cowen may otherwise fulfill its obligations pursuant to this Agreement to or through an affiliated broker-dealer.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shall file, in accordance with the provisions of the Securities Act of 1933, as amended, and the rules and regulations thereunder (collectively, the “</w:t>
      </w:r>
      <w:r>
        <w:rPr>
          <w:rFonts w:ascii="Times New Roman" w:hAnsi="Times New Roman"/>
          <w:b/>
          <w:sz w:val="20"/>
          <w:u w:val="single"/>
        </w:rPr>
        <w:t>Securities Act</w:t>
      </w:r>
      <w:r>
        <w:rPr>
          <w:rFonts w:ascii="Times New Roman" w:hAnsi="Times New Roman"/>
          <w:sz w:val="20"/>
        </w:rPr>
        <w:t>”), with 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sz w:val="20"/>
          <w:u w:val="single"/>
        </w:rPr>
        <w:t>Exchange Act</w:t>
      </w:r>
      <w:r>
        <w:rPr>
          <w:rFonts w:ascii="Times New Roman" w:hAnsi="Times New Roman"/>
          <w:sz w:val="20"/>
        </w:rPr>
        <w:t>”). The Company has prepared a prospectus supplement specifically relating to the Placement Shares (the “</w:t>
      </w:r>
      <w:r>
        <w:rPr>
          <w:rFonts w:ascii="Times New Roman" w:hAnsi="Times New Roman"/>
          <w:b/>
          <w:sz w:val="20"/>
          <w:u w:val="single"/>
        </w:rPr>
        <w:t>Prospectus Supplement</w:t>
      </w:r>
      <w:r>
        <w:rPr>
          <w:rFonts w:ascii="Times New Roman" w:hAnsi="Times New Roman"/>
          <w:sz w:val="20"/>
        </w:rPr>
        <w:t>”) to the base prospectus included as part of such registration statement. The Company shall furnish to TD Cowen, for use by TD Cowen, copies of the prospectus included as part of such registration statement, as supplemented by the Prospectus Supplement. The Company may file one or more additional registration statements from time to time that will contain a base prospectus and related prospectus or prospectus supplement, if applicable, with respect to the Placement Shares. Except where the context otherwise requires, such registration statement(s),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hAnsi="Times New Roman"/>
          <w:b/>
          <w:sz w:val="20"/>
          <w:u w:val="single"/>
        </w:rPr>
        <w:t>Registration Statement</w:t>
      </w:r>
      <w:r>
        <w:rPr>
          <w:rFonts w:ascii="Times New Roman" w:hAnsi="Times New Roman"/>
          <w:sz w:val="20"/>
        </w:rPr>
        <w:t>.” Any registration statement and amendments thereto filed pursuant to Rule 462(b) of the Securities Act and relating to the offering covered by the Registration Statement is herein called a “Rule 462(b) Registration Statement” and, after such filing, the “Registration Statement” shall include any Rule 462(b) Registration Statement. The base prospectus, including all documents incorporated therein by reference, included in the Registration Statement, as supplemented by the Prospectus Supplement, in the form in which such base prospectus and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hAnsi="Times New Roman"/>
          <w:b/>
          <w:sz w:val="20"/>
          <w:u w:val="single"/>
        </w:rPr>
        <w:t>Rule 433</w:t>
      </w:r>
      <w:r>
        <w:rPr>
          <w:rFonts w:ascii="Times New Roman" w:hAnsi="Times New Roman"/>
          <w:sz w:val="20"/>
        </w:rPr>
        <w:t>”), relating to the Placement Shares that (i) is consented to by TD Cowen, hereinafter referred to as a “</w:t>
      </w:r>
      <w:r>
        <w:rPr>
          <w:rFonts w:ascii="Times New Roman" w:hAnsi="Times New Roman"/>
          <w:b/>
          <w:sz w:val="20"/>
          <w:u w:val="single"/>
        </w:rPr>
        <w:t>Permitted Free Writing Prospectus</w:t>
      </w:r>
      <w:r>
        <w:rPr>
          <w:rFonts w:ascii="Times New Roman" w:hAnsi="Times New Roman"/>
          <w:sz w:val="20"/>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sz w:val="20"/>
          <w:u w:val="single"/>
        </w:rPr>
        <w:t>Prospectus</w:t>
      </w:r>
      <w:r>
        <w:rPr>
          <w:rFonts w:ascii="Times New Roman" w:hAnsi="Times New Roman"/>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hAnsi="Times New Roman"/>
          <w:b/>
          <w:sz w:val="20"/>
          <w:u w:val="single"/>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Placements</w:t>
      </w:r>
      <w:r>
        <w:rPr>
          <w:rFonts w:ascii="Times New Roman" w:hAnsi="Times New Roman"/>
          <w:sz w:val="20"/>
        </w:rPr>
        <w:t>. Each time that the Company wishes to issue and sell the Placement Shares hereunder (each, a “</w:t>
      </w:r>
      <w:r>
        <w:rPr>
          <w:rFonts w:ascii="Times New Roman" w:hAnsi="Times New Roman"/>
          <w:b/>
          <w:sz w:val="20"/>
          <w:u w:val="single"/>
        </w:rPr>
        <w:t>Placement</w:t>
      </w:r>
      <w:r>
        <w:rPr>
          <w:rFonts w:ascii="Times New Roman" w:hAnsi="Times New Roman"/>
          <w:sz w:val="20"/>
        </w:rPr>
        <w:t>”), it will notify TD Cowen by email notice (or other method mutually agreed to in writing by the parties) (a “</w:t>
      </w:r>
      <w:r>
        <w:rPr>
          <w:rFonts w:ascii="Times New Roman" w:hAnsi="Times New Roman"/>
          <w:b/>
          <w:sz w:val="20"/>
          <w:u w:val="single"/>
        </w:rPr>
        <w:t>Placement Notice</w:t>
      </w:r>
      <w:r>
        <w:rPr>
          <w:rFonts w:ascii="Times New Roman" w:hAnsi="Times New Roman"/>
          <w:sz w:val="20"/>
        </w:rPr>
        <w:t xml:space="preserve">”) containing the parameters in accordance with which it desires the Placement Shares to be sold, which shall at a minimum include the number or dollar amount of Placement Shares to be issued, the time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which sales are requested to be made, any limitation on the number or dollar amount of Placement Shares that may be sold in any one Trading Day (as defined in </w:t>
      </w:r>
      <w:r>
        <w:rPr>
          <w:rFonts w:ascii="Times New Roman" w:hAnsi="Times New Roman"/>
          <w:sz w:val="20"/>
          <w:u w:val="single"/>
        </w:rPr>
        <w:t>Section 3</w:t>
      </w:r>
      <w:r>
        <w:rPr>
          <w:rFonts w:ascii="Times New Roman" w:hAnsi="Times New Roman"/>
          <w:sz w:val="20"/>
        </w:rPr>
        <w:t xml:space="preserve">) and any minimum price below which sales may not be made, a form of which containing such minimum sales parameters necessary is attached hereto as </w:t>
      </w:r>
      <w:r>
        <w:rPr>
          <w:rFonts w:ascii="Times New Roman" w:hAnsi="Times New Roman"/>
          <w:b/>
          <w:sz w:val="20"/>
          <w:u w:val="single"/>
        </w:rPr>
        <w:t>Schedule 1</w:t>
      </w:r>
      <w:r>
        <w:rPr>
          <w:rFonts w:ascii="Times New Roman" w:hAnsi="Times New Roman"/>
          <w:sz w:val="20"/>
        </w:rPr>
        <w:t xml:space="preserve">. The Placement Notice shall originate from any of the individuals from the Company set forth on </w:t>
      </w:r>
      <w:r>
        <w:rPr>
          <w:rFonts w:ascii="Times New Roman" w:hAnsi="Times New Roman"/>
          <w:b/>
          <w:sz w:val="20"/>
          <w:u w:val="single"/>
        </w:rPr>
        <w:t>Schedule 2</w:t>
      </w:r>
      <w:r>
        <w:rPr>
          <w:rFonts w:ascii="Times New Roman" w:hAnsi="Times New Roman"/>
          <w:sz w:val="20"/>
        </w:rPr>
        <w:t xml:space="preserve"> (with a copy to each of the other individuals from the Company listed on such schedule), and shall be addressed to each of the individuals from TD Cowen set forth on </w:t>
      </w:r>
      <w:r>
        <w:rPr>
          <w:rFonts w:ascii="Times New Roman" w:hAnsi="Times New Roman"/>
          <w:b/>
          <w:sz w:val="20"/>
          <w:u w:val="single"/>
        </w:rPr>
        <w:t>Schedule 2</w:t>
      </w:r>
      <w:r>
        <w:rPr>
          <w:rFonts w:ascii="Times New Roman" w:hAnsi="Times New Roman"/>
          <w:sz w:val="20"/>
        </w:rPr>
        <w:t xml:space="preserve">, as such </w:t>
      </w:r>
      <w:r>
        <w:rPr>
          <w:rFonts w:ascii="Times New Roman" w:hAnsi="Times New Roman"/>
          <w:b/>
          <w:sz w:val="20"/>
          <w:u w:val="single"/>
        </w:rPr>
        <w:t>Schedule 2</w:t>
      </w:r>
      <w:r>
        <w:rPr>
          <w:rFonts w:ascii="Times New Roman" w:hAnsi="Times New Roman"/>
          <w:sz w:val="20"/>
        </w:rPr>
        <w:t xml:space="preserve"> may be amended from time to time by sending a written notice containing a revised Schedule 2 to the other party in the manner provided in </w:t>
      </w:r>
      <w:r>
        <w:rPr>
          <w:rFonts w:ascii="Times New Roman" w:hAnsi="Times New Roman"/>
          <w:sz w:val="20"/>
          <w:u w:val="single"/>
        </w:rPr>
        <w:t>Section 12</w:t>
      </w:r>
      <w:r>
        <w:rPr>
          <w:rFonts w:ascii="Times New Roman" w:hAnsi="Times New Roman"/>
          <w:sz w:val="20"/>
        </w:rPr>
        <w:t xml:space="preserve">. The Placement Notice shall be effective upon receipt by TD Cowen unless and until (i) in accordance with the notice requirements set forth in </w:t>
      </w:r>
      <w:r>
        <w:rPr>
          <w:rFonts w:ascii="Times New Roman" w:hAnsi="Times New Roman"/>
          <w:sz w:val="20"/>
          <w:u w:val="single"/>
        </w:rPr>
        <w:t>Section 4</w:t>
      </w:r>
      <w:r>
        <w:rPr>
          <w:rFonts w:ascii="Times New Roman" w:hAnsi="Times New Roman"/>
          <w:sz w:val="20"/>
        </w:rPr>
        <w:t xml:space="preserve">, TD Cowen declines to accept the terms contained therein for any reason, in its sole discretion, which declination must occur within two (2) Business Days of the date TD Cowen receives the Placement Notice, (ii) the entire amount of the Placement Shares thereunder has been sold, (iii) in accordance with the notice requirements set forth in </w:t>
      </w:r>
      <w:r>
        <w:rPr>
          <w:rFonts w:ascii="Times New Roman" w:hAnsi="Times New Roman"/>
          <w:sz w:val="20"/>
          <w:u w:val="single"/>
        </w:rPr>
        <w:t>Section 4</w:t>
      </w:r>
      <w:r>
        <w:rPr>
          <w:rFonts w:ascii="Times New Roman" w:hAnsi="Times New Roman"/>
          <w:sz w:val="20"/>
        </w:rPr>
        <w:t xml:space="preserve">, the Company suspends or terminates the Placement Notice, which it may do for any reason, in its sole discretion, (iv) the Company issues a subsequent Placement Notice with parameters superseding those on the earlier dated Placement Notice, which it may do for any reason, in its sole discretion, or (v) this Agreement has been terminated under the provisions of </w:t>
      </w:r>
      <w:r>
        <w:rPr>
          <w:rFonts w:ascii="Times New Roman" w:hAnsi="Times New Roman"/>
          <w:sz w:val="20"/>
          <w:u w:val="single"/>
        </w:rPr>
        <w:t>Section 11</w:t>
      </w:r>
      <w:r>
        <w:rPr>
          <w:rFonts w:ascii="Times New Roman" w:hAnsi="Times New Roman"/>
          <w:sz w:val="20"/>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hAnsi="Times New Roman"/>
          <w:b/>
          <w:sz w:val="20"/>
          <w:u w:val="single"/>
        </w:rPr>
        <w:t>Schedule 3</w:t>
      </w:r>
      <w:r>
        <w:rPr>
          <w:rFonts w:ascii="Times New Roman" w:hAnsi="Times New Roman"/>
          <w:b/>
          <w:sz w:val="20"/>
        </w:rPr>
        <w:t>.</w:t>
      </w:r>
      <w:r>
        <w:rPr>
          <w:rFonts w:ascii="Times New Roman" w:hAnsi="Times New Roman"/>
          <w:sz w:val="20"/>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Sale of Placement Shares by TD Cowen.</w:t>
      </w:r>
      <w:r>
        <w:rPr>
          <w:rFonts w:ascii="Times New Roman" w:hAnsi="Times New Roman"/>
          <w:sz w:val="20"/>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Times New Roman" w:hAnsi="Times New Roman"/>
          <w:b/>
          <w:sz w:val="20"/>
          <w:u w:val="single"/>
        </w:rPr>
        <w:t>Nasdaq</w:t>
      </w:r>
      <w:r>
        <w:rPr>
          <w:rFonts w:ascii="Times New Roman" w:hAnsi="Times New Roman"/>
          <w:sz w:val="20"/>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hAnsi="Times New Roman"/>
          <w:b/>
          <w:sz w:val="20"/>
          <w:u w:val="single"/>
        </w:rPr>
        <w:t>Block Sale</w:t>
      </w:r>
      <w:r>
        <w:rPr>
          <w:rFonts w:ascii="Times New Roman" w:hAnsi="Times New Roman"/>
          <w:sz w:val="20"/>
        </w:rPr>
        <w:t xml:space="preserve">”), the Company will provide TD Cowen, at TD Cowen’s request and upon reasonable advance notice to the Company, on or prior to the Settlement Date (as defined below), the opinions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accountant’s letter and officers’ certificates set forth in </w:t>
      </w:r>
      <w:r>
        <w:rPr>
          <w:rFonts w:ascii="Times New Roman" w:hAnsi="Times New Roman"/>
          <w:sz w:val="20"/>
          <w:u w:val="single"/>
        </w:rPr>
        <w:t>Section 7</w:t>
      </w:r>
      <w:r>
        <w:rPr>
          <w:rFonts w:ascii="Times New Roman" w:hAnsi="Times New Roman"/>
          <w:sz w:val="20"/>
        </w:rPr>
        <w:t xml:space="preserve"> hereof, each dated the Settlement Date, and such other documents and information as TD Cowen shall reasonably request. TD Cowen may sell Placement Shares in negotiated transactions, including block trades or Block Sales, or by any method permitted by law deemed to be an “at the market” offering as defined in Rule 415(a)(4)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hAnsi="Times New Roman"/>
          <w:sz w:val="20"/>
          <w:u w:val="single"/>
        </w:rPr>
        <w:t>Section 3</w:t>
      </w:r>
      <w:r>
        <w:rPr>
          <w:rFonts w:ascii="Times New Roman" w:hAnsi="Times New Roman"/>
          <w:sz w:val="20"/>
        </w:rPr>
        <w:t>. For the purposes hereof, “</w:t>
      </w:r>
      <w:r>
        <w:rPr>
          <w:rFonts w:ascii="Times New Roman" w:hAnsi="Times New Roman"/>
          <w:b/>
          <w:sz w:val="20"/>
          <w:u w:val="single"/>
        </w:rPr>
        <w:t>Trading Day</w:t>
      </w:r>
      <w:r>
        <w:rPr>
          <w:rFonts w:ascii="Times New Roman" w:hAnsi="Times New Roman"/>
          <w:sz w:val="20"/>
        </w:rPr>
        <w:t xml:space="preserve">” means any day on which the Common Stock is purchased and sold on the principal market on which the Common Stock is listed or quoted. </w:t>
      </w:r>
    </w:p>
    <w:p>
      <w:pPr>
        <w:pStyle w:val="TextBody"/>
        <w:bidi w:val="0"/>
        <w:spacing w:before="240" w:after="0"/>
        <w:jc w:val="left"/>
        <w:rPr>
          <w:rFonts w:ascii="Times New Roman" w:hAnsi="Times New Roman"/>
          <w:sz w:val="20"/>
        </w:rPr>
      </w:pPr>
      <w:r>
        <w:rPr>
          <w:rFonts w:ascii="Times New Roman" w:hAnsi="Times New Roman"/>
          <w:sz w:val="20"/>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b/>
          <w:sz w:val="20"/>
          <w:u w:val="single"/>
        </w:rPr>
        <w:t>Earnings Announcement</w:t>
      </w:r>
      <w:r>
        <w:rPr>
          <w:rFonts w:ascii="Times New Roman" w:hAnsi="Times New Roman"/>
          <w:sz w:val="20"/>
        </w:rPr>
        <w:t xml:space="preserve">”) through and including the time that the Company files a Quarterly Report on Form 10-Q or an Annual Report on Form 10-K that includes consolidated financial statements as of and for the same period or periods, as the case may be, covered by such Earnings Announcement.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Suspension of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or TD Cowen may, upon notice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suspend any sale of Placement Shares; </w:t>
      </w:r>
      <w:r>
        <w:rPr>
          <w:rFonts w:ascii="Times New Roman" w:hAnsi="Times New Roman"/>
          <w:i/>
          <w:sz w:val="20"/>
        </w:rPr>
        <w:t>provided, however</w:t>
      </w:r>
      <w:r>
        <w:rPr>
          <w:rFonts w:ascii="Times New Roman" w:hAnsi="Times New Roman"/>
          <w:sz w:val="20"/>
        </w:rPr>
        <w:t xml:space="preserve">, that such suspension shall not affect or impair either party’s obligations with respect to any Placement Shares sold hereunder prior to the receipt of such notice. While a suspension pursuant to this </w:t>
      </w:r>
      <w:r>
        <w:rPr>
          <w:rFonts w:ascii="Times New Roman" w:hAnsi="Times New Roman"/>
          <w:sz w:val="20"/>
          <w:u w:val="single"/>
        </w:rPr>
        <w:t>Section 4(a)</w:t>
      </w:r>
      <w:r>
        <w:rPr>
          <w:rFonts w:ascii="Times New Roman" w:hAnsi="Times New Roman"/>
          <w:sz w:val="20"/>
        </w:rPr>
        <w:t xml:space="preserve"> is in effect, any obligation under </w:t>
      </w:r>
      <w:r>
        <w:rPr>
          <w:rFonts w:ascii="Times New Roman" w:hAnsi="Times New Roman"/>
          <w:sz w:val="20"/>
          <w:u w:val="single"/>
        </w:rPr>
        <w:t>Sections 7(m)</w:t>
      </w:r>
      <w:r>
        <w:rPr>
          <w:rFonts w:ascii="Times New Roman" w:hAnsi="Times New Roman"/>
          <w:sz w:val="20"/>
        </w:rPr>
        <w:t xml:space="preserve">, </w:t>
      </w:r>
      <w:r>
        <w:rPr>
          <w:rFonts w:ascii="Times New Roman" w:hAnsi="Times New Roman"/>
          <w:sz w:val="20"/>
          <w:u w:val="single"/>
        </w:rPr>
        <w:t>7(n)</w:t>
      </w:r>
      <w:r>
        <w:rPr>
          <w:rFonts w:ascii="Times New Roman" w:hAnsi="Times New Roman"/>
          <w:sz w:val="20"/>
        </w:rPr>
        <w:t xml:space="preserve">, and </w:t>
      </w:r>
      <w:r>
        <w:rPr>
          <w:rFonts w:ascii="Times New Roman" w:hAnsi="Times New Roman"/>
          <w:sz w:val="20"/>
          <w:u w:val="single"/>
        </w:rPr>
        <w:t>7(o)</w:t>
      </w:r>
      <w:r>
        <w:rPr>
          <w:rFonts w:ascii="Times New Roman" w:hAnsi="Times New Roman"/>
          <w:sz w:val="20"/>
        </w:rPr>
        <w:t xml:space="preserve"> with respect to the delivery of certificates, opinions, or comfort letters to TD Cowen shall be automatically waived; provided, that upon delivery of a Placement Notice following a Representation Date, the Company shall be subject to the obligations set forth in </w:t>
      </w:r>
      <w:r>
        <w:rPr>
          <w:rFonts w:ascii="Times New Roman" w:hAnsi="Times New Roman"/>
          <w:sz w:val="20"/>
          <w:u w:val="single"/>
        </w:rPr>
        <w:t>Sections 7(m)</w:t>
      </w:r>
      <w:r>
        <w:rPr>
          <w:rFonts w:ascii="Times New Roman" w:hAnsi="Times New Roman"/>
          <w:sz w:val="20"/>
        </w:rPr>
        <w:t xml:space="preserve">, </w:t>
      </w:r>
      <w:r>
        <w:rPr>
          <w:rFonts w:ascii="Times New Roman" w:hAnsi="Times New Roman"/>
          <w:sz w:val="20"/>
          <w:u w:val="single"/>
        </w:rPr>
        <w:t>7(n)</w:t>
      </w:r>
      <w:r>
        <w:rPr>
          <w:rFonts w:ascii="Times New Roman" w:hAnsi="Times New Roman"/>
          <w:sz w:val="20"/>
        </w:rPr>
        <w:t xml:space="preserve">, and </w:t>
      </w:r>
      <w:r>
        <w:rPr>
          <w:rFonts w:ascii="Times New Roman" w:hAnsi="Times New Roman"/>
          <w:sz w:val="20"/>
          <w:u w:val="single"/>
        </w:rPr>
        <w:t>7(o)</w:t>
      </w:r>
      <w:r>
        <w:rPr>
          <w:rFonts w:ascii="Times New Roman" w:hAnsi="Times New Roman"/>
          <w:sz w:val="20"/>
        </w:rPr>
        <w:t xml:space="preserve">, as applicable. Each of the parties agrees that no such notice under this </w:t>
      </w:r>
      <w:r>
        <w:rPr>
          <w:rFonts w:ascii="Times New Roman" w:hAnsi="Times New Roman"/>
          <w:sz w:val="20"/>
          <w:u w:val="single"/>
        </w:rPr>
        <w:t>Section 4</w:t>
      </w:r>
      <w:r>
        <w:rPr>
          <w:rFonts w:ascii="Times New Roman" w:hAnsi="Times New Roman"/>
          <w:sz w:val="20"/>
        </w:rPr>
        <w:t xml:space="preserve"> shall be effective against the other unless it is made to one of the individuals named on </w:t>
      </w:r>
      <w:r>
        <w:rPr>
          <w:rFonts w:ascii="Times New Roman" w:hAnsi="Times New Roman"/>
          <w:b/>
          <w:sz w:val="20"/>
          <w:u w:val="single"/>
        </w:rPr>
        <w:t>Schedule 2</w:t>
      </w:r>
      <w:r>
        <w:rPr>
          <w:rFonts w:ascii="Times New Roman" w:hAnsi="Times New Roman"/>
          <w:sz w:val="20"/>
        </w:rPr>
        <w:t xml:space="preserve"> hereto, as such schedule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Settlement of Placement Shares</w:t>
      </w:r>
      <w:r>
        <w:rPr>
          <w:rFonts w:ascii="Times New Roman" w:hAnsi="Times New Roman"/>
          <w:sz w:val="20"/>
        </w:rPr>
        <w:t>. Unless otherwise specified in the applicable Placement Notice, settlement for sales of Placement Shares will occur on the first (1st) Trading Day following the date on which such sales are made (each, a “</w:t>
      </w:r>
      <w:r>
        <w:rPr>
          <w:rFonts w:ascii="Times New Roman" w:hAnsi="Times New Roman"/>
          <w:b/>
          <w:sz w:val="20"/>
          <w:u w:val="single"/>
        </w:rPr>
        <w:t>Settlement Date</w:t>
      </w:r>
      <w:r>
        <w:rPr>
          <w:rFonts w:ascii="Times New Roman" w:hAnsi="Times New Roman"/>
          <w:sz w:val="20"/>
        </w:rPr>
        <w:t>” and the first such settlement date, the “</w:t>
      </w:r>
      <w:r>
        <w:rPr>
          <w:rFonts w:ascii="Times New Roman" w:hAnsi="Times New Roman"/>
          <w:b/>
          <w:sz w:val="20"/>
          <w:u w:val="single"/>
        </w:rPr>
        <w:t>First Delivery Date</w:t>
      </w:r>
      <w:r>
        <w:rPr>
          <w:rFonts w:ascii="Times New Roman" w:hAnsi="Times New Roman"/>
          <w:sz w:val="20"/>
        </w:rPr>
        <w:t>”).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hAnsi="Times New Roman"/>
          <w:sz w:val="20"/>
          <w:u w:val="single"/>
        </w:rPr>
        <w:t>Section 2</w:t>
      </w:r>
      <w:r>
        <w:rPr>
          <w:rFonts w:ascii="Times New Roman" w:hAnsi="Times New Roman"/>
          <w:sz w:val="20"/>
        </w:rPr>
        <w:t xml:space="preserve"> hereof, (ii) any other amounts due and payable by the Company to TD Cowen hereunder pursuant to </w:t>
      </w:r>
      <w:r>
        <w:rPr>
          <w:rFonts w:ascii="Times New Roman" w:hAnsi="Times New Roman"/>
          <w:sz w:val="20"/>
          <w:u w:val="single"/>
        </w:rPr>
        <w:t>Section 7(g)</w:t>
      </w:r>
      <w:r>
        <w:rPr>
          <w:rFonts w:ascii="Times New Roman" w:hAnsi="Times New Roman"/>
          <w:sz w:val="20"/>
        </w:rPr>
        <w:t xml:space="preserve"> (Expenses) hereof, provided that TD Cowen shall provide to the Company reasonable documentation of such amounts, and (iii) any transaction fees imposed on TD Cowen by any governmental or self-regulatory organization in respect of such sales, provided that TD Cowen shall provide to the Company reasonable documentation of such amounts.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Delivery of Placement Shares</w:t>
      </w:r>
      <w:r>
        <w:rPr>
          <w:rFonts w:ascii="Times New Roman" w:hAnsi="Times New Roman"/>
          <w:sz w:val="20"/>
        </w:rPr>
        <w:t>.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w:t>
      </w:r>
      <w:r>
        <w:rPr>
          <w:rFonts w:ascii="Times New Roman" w:hAnsi="Times New Roman"/>
          <w:b/>
          <w:sz w:val="20"/>
          <w:u w:val="single"/>
        </w:rPr>
        <w:t>DWAC</w:t>
      </w:r>
      <w:r>
        <w:rPr>
          <w:rFonts w:ascii="Times New Roman" w:hAnsi="Times New Roman"/>
          <w:sz w:val="20"/>
        </w:rPr>
        <w:t xml:space="preserve">”)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shall be responsible for providing DWAC instructions or other instructions for delivery by other means with regard to the transfer of the Placement Shares. The Company agrees that if the Company, or its transfer agent (if applicable), defaults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obligation to deliver duly authorized Placement Shares on a Settlement Date (other than as a result of a failure by TD Cowen to provide true and correct instructions for delivery in a timely manner), the Company agrees that in addition to and in no way limiting the rights and obligations set forth in </w:t>
      </w:r>
      <w:r>
        <w:rPr>
          <w:rFonts w:ascii="Times New Roman" w:hAnsi="Times New Roman"/>
          <w:sz w:val="20"/>
          <w:u w:val="single"/>
        </w:rPr>
        <w:t>Section 9(a)</w:t>
      </w:r>
      <w:r>
        <w:rPr>
          <w:rFonts w:ascii="Times New Roman" w:hAnsi="Times New Roman"/>
          <w:sz w:val="20"/>
        </w:rPr>
        <w:t xml:space="preserve"> (Indemnification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Representations and Warranties of the Company</w:t>
      </w:r>
      <w:r>
        <w:rPr>
          <w:rFonts w:ascii="Times New Roman" w:hAnsi="Times New Roman"/>
          <w:sz w:val="20"/>
        </w:rPr>
        <w:t>. Except as disclosed in the Registration Statement or the Prospectus (including any documents incorporated by reference therein and any supplements thereto), the Company represents and warrants to, and agrees with, TD Cowen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Times New Roman" w:hAnsi="Times New Roman"/>
          <w:b/>
          <w:sz w:val="20"/>
          <w:u w:val="single"/>
        </w:rPr>
        <w:t>Representation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Compliance with Registration Requirements</w:t>
      </w:r>
      <w:r>
        <w:rPr>
          <w:rFonts w:ascii="Times New Roman" w:hAnsi="Times New Roman"/>
          <w:sz w:val="20"/>
        </w:rPr>
        <w:t xml:space="preserve">. Prior to the issuance of any Placement Notice by the Company, the Registration Statement and any Rule 462(b) Registration Statement will have been filed and automatically effective upon filing with the Commission under the Securities Act, and the Company has complied and will comply to the Commission’s satisfaction with all requests of the Commission for additional or supplemental information, in connection therewith, if any.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 The Company meets the requirements for use of Form S-3 under the Securities Act and is, and has been at all relevant times with respect to the registration of the offer and sales of the Placement Shares, a “well-known seasoned issuer” as defined in Rule 405 under the Securities Act. The sale of the Placement Shares hereunder meets the requirements of General Instruction I.B.1 of Form S-3.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Misstatement or Omission</w:t>
      </w:r>
      <w:r>
        <w:rPr>
          <w:rFonts w:ascii="Times New Roman" w:hAnsi="Times New Roman"/>
          <w:sz w:val="20"/>
        </w:rPr>
        <w:t xml:space="preserve">.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becomes or became effective or its date, as applicable, and as of each Representation Date, (i) complied and will comply in all material respects with the Securities Act and (ii) did not and will not contain any untrue statement of a material fact or omit to state a material fact required to be stated therein or necessary to make the statements therein not misleading. The Prospectus, as amended or supplemented, as of its date and as of each Representation Date, did not and will not contain any untrue statement of a material fact or omit to state a material fact necessary in order to make the statements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hAnsi="Times New Roman"/>
          <w:b/>
          <w:sz w:val="20"/>
          <w:u w:val="single"/>
        </w:rPr>
        <w:t>Time of Sale</w:t>
      </w:r>
      <w:r>
        <w:rPr>
          <w:rFonts w:ascii="Times New Roman" w:hAnsi="Times New Roman"/>
          <w:sz w:val="20"/>
        </w:rPr>
        <w:t xml:space="preserve">” means with respect to each offering of Placement Shares pursuant to this Agreement, the time of TD Cowen’s initial entry into contracts with purchasers for the sale of such Placement Shares.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Offering Materials Furnished to TD Cowen</w:t>
      </w:r>
      <w:r>
        <w:rPr>
          <w:rFonts w:ascii="Times New Roman" w:hAnsi="Times New Roman"/>
          <w:sz w:val="20"/>
        </w:rPr>
        <w:t xml:space="preserve">. Except as otherwise available on EDGAR,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Not an Ineligible Issuer</w:t>
      </w:r>
      <w:r>
        <w:rPr>
          <w:rFonts w:ascii="Times New Roman" w:hAnsi="Times New Roman"/>
          <w:sz w:val="20"/>
        </w:rPr>
        <w:t xml:space="preserve">. The Company is currently not an “ineligible issuer,” as defined in Rule 405 under the Securities Act. The Company agrees to notify TD Cowen promptly upon the Company becoming an “ineligible issuer.”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Distribution of Offering Material By the Company</w:t>
      </w:r>
      <w:r>
        <w:rPr>
          <w:rFonts w:ascii="Times New Roman" w:hAnsi="Times New Roman"/>
          <w:sz w:val="20"/>
        </w:rPr>
        <w:t xml:space="preserve">. The Company has not distributed and will not distribute, prior to the completion of TD Cowen’s distribution of the Placement Shares pursuant to this Agreement, any offering material in connection with the offering and sale of the Placement Shares other than the Prospectus, the Registration Statement or a Permitted Free Writing Prospectus.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The Sales Agreement</w:t>
      </w:r>
      <w:r>
        <w:rPr>
          <w:rFonts w:ascii="Times New Roman" w:hAnsi="Times New Roman"/>
          <w:sz w:val="20"/>
        </w:rPr>
        <w:t xml:space="preserve">. This Agreement has been duly authorized, executed and delivered by, and, assuming the due authorization, execution and delivery by TD Cowen,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Authorization of the Common Stock</w:t>
      </w:r>
      <w:r>
        <w:rPr>
          <w:rFonts w:ascii="Times New Roman" w:hAnsi="Times New Roman"/>
          <w:sz w:val="20"/>
        </w:rPr>
        <w:t xml:space="preserve">.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Subsidiary is a party or otherwise, except as have been validly waived or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sz w:val="20"/>
          <w:u w:val="single"/>
        </w:rPr>
        <w:t>No Applicable Registration or Other Similar Rights</w:t>
      </w:r>
      <w:r>
        <w:rPr>
          <w:rFonts w:ascii="Times New Roman" w:hAnsi="Times New Roman"/>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or complied with.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No Material Adverse Change</w:t>
      </w:r>
      <w:r>
        <w:rPr>
          <w:rFonts w:ascii="Times New Roman" w:hAnsi="Times New Roman"/>
          <w:sz w:val="20"/>
        </w:rPr>
        <w:t>.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(as defined below), considered as one entity (any such change is called a “</w:t>
      </w:r>
      <w:r>
        <w:rPr>
          <w:rFonts w:ascii="Times New Roman" w:hAnsi="Times New Roman"/>
          <w:b/>
          <w:sz w:val="20"/>
          <w:u w:val="single"/>
        </w:rPr>
        <w:t>Material Adverse Change</w:t>
      </w:r>
      <w:r>
        <w:rPr>
          <w:rFonts w:ascii="Times New Roman" w:hAnsi="Times New Roman"/>
          <w:sz w:val="20"/>
        </w:rPr>
        <w:t xml:space="preserve">”);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Independent Accountants</w:t>
      </w:r>
      <w:r>
        <w:rPr>
          <w:rFonts w:ascii="Times New Roman" w:hAnsi="Times New Roman"/>
          <w:sz w:val="20"/>
        </w:rPr>
        <w:t xml:space="preserve">. Deloitte &amp; Touche LLP, which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Preparation of the Financial Statements</w:t>
      </w:r>
      <w:r>
        <w:rPr>
          <w:rFonts w:ascii="Times New Roman" w:hAnsi="Times New Roman"/>
          <w:sz w:val="20"/>
        </w:rPr>
        <w:t>.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The supporting schedules (if any) included in or incorporated in the Registration Statement present fairly in all material respects the information required to be stated therein. Such financial statements and supporting schedules (if any) have been prepared in conformity with generally accepted accounting principles as applied in the United States (“</w:t>
      </w:r>
      <w:r>
        <w:rPr>
          <w:rFonts w:ascii="Times New Roman" w:hAnsi="Times New Roman"/>
          <w:b/>
          <w:sz w:val="20"/>
          <w:u w:val="single"/>
        </w:rPr>
        <w:t>U.S. GAAP</w:t>
      </w:r>
      <w:r>
        <w:rPr>
          <w:rFonts w:ascii="Times New Roman" w:hAnsi="Times New Roman"/>
          <w:sz w:val="20"/>
        </w:rPr>
        <w:t xml:space="preserve">”) applied on a consistent basis throughout the periods covered thereby, except as may be expressly stated in the related notes thereto and in the case of unaudited interim financial statements which are subject to normal year-end adjustments and do not contain certain footnotes as permitted by the applicable rules of the Commission. No other financial statements or supporting schedules are required to be included in or incorporated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w:t>
      </w:r>
      <w:r>
        <w:rPr>
          <w:rFonts w:ascii="Times New Roman" w:hAnsi="Times New Roman"/>
          <w:sz w:val="20"/>
          <w:u w:val="single"/>
        </w:rPr>
        <w:t>XBRL</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in all material respects.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Incorporation and Good Standing of the Company and its Subsidiaries</w:t>
      </w:r>
      <w:r>
        <w:rPr>
          <w:rFonts w:ascii="Times New Roman" w:hAnsi="Times New Roman"/>
          <w:sz w:val="20"/>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Each material subsidiary of the Company (each a “</w:t>
      </w:r>
      <w:r>
        <w:rPr>
          <w:rFonts w:ascii="Times New Roman" w:hAnsi="Times New Roman"/>
          <w:b/>
          <w:sz w:val="20"/>
          <w:u w:val="single"/>
        </w:rPr>
        <w:t>Subsidiary</w:t>
      </w:r>
      <w:r>
        <w:rPr>
          <w:rFonts w:ascii="Times New Roman" w:hAnsi="Times New Roman"/>
          <w:sz w:val="20"/>
        </w:rPr>
        <w:t xml:space="preserve">”) 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Subsidiaries have been duly authorized and validly issued, are fully paid and nonassessable and are owned by the Company, directly or through the Subsidiaries, free and clear of any security interest, mortgage, pledge, lien, encumbrance or adverse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Capital Stock Matters</w:t>
      </w:r>
      <w:r>
        <w:rPr>
          <w:rFonts w:ascii="Times New Roman" w:hAnsi="Times New Roman"/>
          <w:sz w:val="20"/>
        </w:rPr>
        <w:t xml:space="preserve">.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applicable federal and state securities laws. None of the outstanding shares of Common Stock were issued in violation of any preemptive rights, rights of first refusal or other similar rights to subscribe for or purchase securities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Non-Contravention of Existing Instruments; No Further Authorizations or Approvals Required</w:t>
      </w:r>
      <w:r>
        <w:rPr>
          <w:rFonts w:ascii="Times New Roman" w:hAnsi="Times New Roman"/>
          <w:sz w:val="20"/>
        </w:rPr>
        <w:t>. Neither the Company nor any of its Subsidiaries is in violation of its charter or by-laws or is in default (or, with the giving of notice or lapse of time, would be in default) (“</w:t>
      </w:r>
      <w:r>
        <w:rPr>
          <w:rFonts w:ascii="Times New Roman" w:hAnsi="Times New Roman"/>
          <w:b/>
          <w:sz w:val="20"/>
          <w:u w:val="single"/>
        </w:rPr>
        <w:t>Default</w:t>
      </w:r>
      <w:r>
        <w:rPr>
          <w:rFonts w:ascii="Times New Roman" w:hAnsi="Times New Roman"/>
          <w:sz w:val="20"/>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 w:hAnsi="Times New Roman"/>
          <w:b/>
          <w:sz w:val="20"/>
          <w:u w:val="single"/>
        </w:rPr>
        <w:t>Existing Instrument</w:t>
      </w:r>
      <w:r>
        <w:rPr>
          <w:rFonts w:ascii="Times New Roman" w:hAnsi="Times New Roman"/>
          <w:sz w:val="20"/>
        </w:rPr>
        <w:t>”), except for such Defaults as would not, individually or in the aggregate, reasonably be expected to result in a Material Adverse Change. The Company’s execution, delivery and performance of this Agreement and consummation of the transactions contemplated hereby and by the Prospectus (i) have been duly authorized by all necessary corporate action and will not result in any violation of the provisions of the charter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Subsidiary, except in the case of clauses (ii) and (iii) above, as would not, individually or in the aggregate, reasonably be expected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Inc. (“</w:t>
      </w:r>
      <w:r>
        <w:rPr>
          <w:rFonts w:ascii="Times New Roman" w:hAnsi="Times New Roman"/>
          <w:b/>
          <w:sz w:val="20"/>
          <w:u w:val="single"/>
        </w:rPr>
        <w:t>FINRA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No Material Actions or Proceedings</w:t>
      </w:r>
      <w:r>
        <w:rPr>
          <w:rFonts w:ascii="Times New Roman" w:hAnsi="Times New Roman"/>
          <w:sz w:val="20"/>
        </w:rPr>
        <w:t xml:space="preserve">. Except as disclosed in the Prospectus, there are no legal or governmental actions, suits or proceedings pending or, to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 or imminent.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(q) </w:t>
      </w:r>
      <w:r>
        <w:rPr>
          <w:rFonts w:ascii="Times New Roman" w:hAnsi="Times New Roman"/>
          <w:sz w:val="20"/>
          <w:u w:val="single"/>
        </w:rPr>
        <w:t>All Necessary Permits, etc</w:t>
      </w:r>
      <w:r>
        <w:rPr>
          <w:rFonts w:ascii="Times New Roman" w:hAnsi="Times New Roman"/>
          <w:sz w:val="20"/>
        </w:rPr>
        <w:t xml:space="preserve">. The Company and each Subsidiary possess such valid and current certificates, authorizations or permits issued by the appropriate state, federal or foreign regulatory agencies or bodies necessary to conduct their respective businesses, other than those the failure to possess or own would not reasonably be expected to, individually or in the aggregate,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would reasonably be expected to, individually or in the aggregate,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Tax Law Compliance</w:t>
      </w:r>
      <w:r>
        <w:rPr>
          <w:rFonts w:ascii="Times New Roman" w:hAnsi="Times New Roman"/>
          <w:sz w:val="20"/>
        </w:rPr>
        <w:t xml:space="preserve">. The Company and each of its Subsidiaries have filed all required federal, state and foreign income, property and franchise tax returns or have properly requested extensions thereof, other than those returns where the failure to file would not reasonably be expected to, individually or in the aggregate,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where the failure to pay would not reasonably be expected to, individually or in the aggregate, result in a Material Adverse Change. The Company has made adequate charges, accruals and reserves, in conformity with U.S. GAAP, in the applicable financial statements referred to in </w:t>
      </w:r>
      <w:r>
        <w:rPr>
          <w:rFonts w:ascii="Times New Roman" w:hAnsi="Times New Roman"/>
          <w:sz w:val="20"/>
          <w:u w:val="single"/>
        </w:rPr>
        <w:t>Section 6(k)</w:t>
      </w:r>
      <w:r>
        <w:rPr>
          <w:rFonts w:ascii="Times New Roman" w:hAnsi="Times New Roman"/>
          <w:sz w:val="20"/>
        </w:rPr>
        <w:t xml:space="preserve"> above in respect of all material federal, state and foreign income, property and franchise taxes for all periods as to which the tax liability of the Company or any of its consolidated Subsidiaries has not been finally determined. None of the tax returns or taxes of the Company or any of its Subsidiaries is currently under audit or other examination and there are no outstanding agreements or waivers extending the statutory period of limitation applicable to any federal, state, local or foreign tax return for any period.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Not an “Investment Company</w:t>
      </w:r>
      <w:r>
        <w:rPr>
          <w:rFonts w:ascii="Times New Roman" w:hAnsi="Times New Roman"/>
          <w:sz w:val="20"/>
        </w:rPr>
        <w:t>”. The Company has been advised of the rules and requirements under the Investment Company Act of 1940, as amended (the “</w:t>
      </w:r>
      <w:r>
        <w:rPr>
          <w:rFonts w:ascii="Times New Roman" w:hAnsi="Times New Roman"/>
          <w:b/>
          <w:sz w:val="20"/>
          <w:u w:val="single"/>
        </w:rPr>
        <w:t>Investment Company Act</w:t>
      </w:r>
      <w:r>
        <w:rPr>
          <w:rFonts w:ascii="Times New Roman" w:hAnsi="Times New Roman"/>
          <w:sz w:val="20"/>
        </w:rPr>
        <w:t xml:space="preserve">”). The Company is not, and after receipt of payment for the Placement Shares will not be, an “investment company” within the meaning of the Investment Company Act.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Insurance</w:t>
      </w:r>
      <w:r>
        <w:rPr>
          <w:rFonts w:ascii="Times New Roman" w:hAnsi="Times New Roman"/>
          <w:sz w:val="20"/>
        </w:rPr>
        <w:t xml:space="preserve">. Except as otherwise described in the Prospectus, the Company is insured by insurers of recognized financial responsibility with policies in such amounts and with such deductibles and covering such risks as are generally deemed adequate and customary for the business for which it is engaged including, but not limited to, policies covering real and personal property owned or leased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against theft, damage, destruction, acts of vandalism and earthquakes.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No Price Stabilization or Manipulation</w:t>
      </w:r>
      <w:r>
        <w:rPr>
          <w:rFonts w:ascii="Times New Roman" w:hAnsi="Times New Roman"/>
          <w:sz w:val="20"/>
        </w:rPr>
        <w:t xml:space="preserve">.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Related Party Transactions</w:t>
      </w:r>
      <w:r>
        <w:rPr>
          <w:rFonts w:ascii="Times New Roman" w:hAnsi="Times New Roman"/>
          <w:sz w:val="20"/>
        </w:rPr>
        <w:t xml:space="preserve">. There are no business relationships or related-party transactions involving the Company or any Subsidiary or any other person required to be described in the Prospectus which have not been described as required by applicable laws.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Exchange Act Compliance</w:t>
      </w:r>
      <w:r>
        <w:rPr>
          <w:rFonts w:ascii="Times New Roman" w:hAnsi="Times New Roman"/>
          <w:sz w:val="20"/>
        </w:rPr>
        <w:t xml:space="preserve">.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No Unlawful Contributions or Other Payments</w:t>
      </w:r>
      <w:r>
        <w:rPr>
          <w:rFonts w:ascii="Times New Roman" w:hAnsi="Times New Roman"/>
          <w:sz w:val="20"/>
        </w:rPr>
        <w:t xml:space="preserve">. Neither the Company nor any of its Subsidiaries has, nor, to the Company’s knowledge, any director, officer, employee, agent, affiliate or other person acting on behalf of the Company or any Subsidiary, has (i) used any corporate funds for any unlawful contribution, gift, entertainment or other unlawful expense relating to political activity; (ii) made any direct or indirect unlawful payment to any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Compliance with Money Laundering Laws</w:t>
      </w:r>
      <w:r>
        <w:rPr>
          <w:rFonts w:ascii="Times New Roman" w:hAnsi="Times New Roman"/>
          <w:sz w:val="20"/>
        </w:rPr>
        <w:t>.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u w:val="single"/>
        </w:rPr>
        <w:t>Anti-Money Laundering Laws</w:t>
      </w:r>
      <w:r>
        <w:rPr>
          <w:rFonts w:ascii="Times New Roman" w:hAnsi="Times New Roman"/>
          <w:sz w:val="20"/>
        </w:rPr>
        <w:t xml:space="preserve">”), and no action, suit or proceeding by or before any court or governmental agency, authority, body or any arbitrator involving the Company or any of its Subsidiaries with respect to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Compliance with OFAC</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Neither the Company nor any of its Subsidiaries, any director or officer, nor to the Company’s knowledge, any employee thereof, agent, affiliate, representative, or other person acting on behalf of the Company or any of its Subsidiaries, is an individual or entity (“</w:t>
            </w:r>
            <w:r>
              <w:rPr>
                <w:rFonts w:ascii="Times New Roman" w:hAnsi="Times New Roman"/>
                <w:b/>
                <w:sz w:val="20"/>
                <w:u w:val="single"/>
              </w:rPr>
              <w:t>Person</w:t>
            </w:r>
            <w:r>
              <w:rPr>
                <w:rFonts w:ascii="Times New Roman" w:hAnsi="Times New Roman"/>
                <w:sz w:val="20"/>
              </w:rPr>
              <w:t>”) that is, or is owned or controlled by a Person that is: (i) the subject of any economic, financial or trade sanctions administered or enforced by the U.S. Department of the Treasury’s Office of Foreign Assets Control (“</w:t>
            </w:r>
            <w:r>
              <w:rPr>
                <w:rFonts w:ascii="Times New Roman" w:hAnsi="Times New Roman"/>
                <w:b/>
                <w:sz w:val="20"/>
                <w:u w:val="single"/>
              </w:rPr>
              <w:t>OFAC</w:t>
            </w:r>
            <w:r>
              <w:rPr>
                <w:rFonts w:ascii="Times New Roman" w:hAnsi="Times New Roman"/>
                <w:sz w:val="20"/>
              </w:rPr>
              <w:t>”), the United Nations Security Council, the European Union (“</w:t>
            </w:r>
            <w:r>
              <w:rPr>
                <w:rFonts w:ascii="Times New Roman" w:hAnsi="Times New Roman"/>
                <w:b/>
                <w:sz w:val="20"/>
                <w:u w:val="single"/>
              </w:rPr>
              <w:t>EU</w:t>
            </w:r>
            <w:r>
              <w:rPr>
                <w:rFonts w:ascii="Times New Roman" w:hAnsi="Times New Roman"/>
                <w:sz w:val="20"/>
              </w:rPr>
              <w:t>”), His Majesty’s Treasury, the Swiss State Secretariat for Economic Affairs, or other relevant sanctions authority (collectively, “</w:t>
            </w:r>
            <w:r>
              <w:rPr>
                <w:rFonts w:ascii="Times New Roman" w:hAnsi="Times New Roman"/>
                <w:b/>
                <w:sz w:val="20"/>
                <w:u w:val="single"/>
              </w:rPr>
              <w:t>Sanctions</w:t>
            </w:r>
            <w:r>
              <w:rPr>
                <w:rFonts w:ascii="Times New Roman" w:hAnsi="Times New Roman"/>
                <w:sz w:val="20"/>
              </w:rPr>
              <w:t xml:space="preserve">”), nor (ii) located, organized, or resident in a country or territory that is the subject of Sanctions (including, without limitation, the so-called Donetsk People’s Republic, the so-called Luhansk People’s Republic, the Crimea Region of Ukraine, the non-government controlled areas of the Zaporizhzhia and Kherson Regions, Cuba, Iran, North Korea and Syria).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Sanctions, in violation of Sanctions; or (ii) in any other manner that will result in a violation of Sanctions by any Person (including TD Cowen).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April 24, 2019, the Company and its Subsidiaries have not knowingly engaged in, are not now knowingly engaged in, and will not knowingly engage in, any direct or indirect dealings or transactions with any Person that at the time of the dealing or transaction is or was the subject of Sanctions or any country or territory that, at the time of the dealing or transaction is or was the subject of Sanctions, in violation of Sanctions.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Company’s Accounting System</w:t>
      </w:r>
      <w:r>
        <w:rPr>
          <w:rFonts w:ascii="Times New Roman" w:hAnsi="Times New Roman"/>
          <w:sz w:val="20"/>
        </w:rPr>
        <w:t>. The Company maintains a system of “internal control over financial reporting” (as such term is defined in Rule 13a-15(f) of the General Rules and Regulations under the Exchange Act (the “</w:t>
      </w:r>
      <w:r>
        <w:rPr>
          <w:rFonts w:ascii="Times New Roman" w:hAnsi="Times New Roman"/>
          <w:b/>
          <w:sz w:val="20"/>
          <w:u w:val="single"/>
        </w:rPr>
        <w:t>Exchange Act Rules</w:t>
      </w:r>
      <w:r>
        <w:rPr>
          <w:rFonts w:ascii="Times New Roman" w:hAnsi="Times New Roman"/>
          <w:sz w:val="20"/>
        </w:rPr>
        <w:t xml:space="preserve">”)) that, except as described in the Prospectus,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Prospectus,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Disclosure Controls</w:t>
      </w:r>
      <w:r>
        <w:rPr>
          <w:rFonts w:ascii="Times New Roman" w:hAnsi="Times New Roman"/>
          <w:sz w:val="20"/>
        </w:rPr>
        <w:t xml:space="preserve">. The Company maintains disclosure controls and procedures (as defined in Exchange Act Rules 13a-15(e) and 15d-15(e)) that, except as described in the Prospectus, comply in all material respects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conducted evaluations of the effectiveness of its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Compliance with Environmental Laws</w:t>
      </w:r>
      <w:r>
        <w:rPr>
          <w:rFonts w:ascii="Times New Roman" w:hAnsi="Times New Roman"/>
          <w:sz w:val="20"/>
        </w:rPr>
        <w:t>. Except as otherwise described in the Prospectus, and except as would not reasonably be expected to,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hAnsi="Times New Roman"/>
          <w:b/>
          <w:sz w:val="20"/>
          <w:u w:val="single"/>
        </w:rPr>
        <w:t>Materials of Environmental Concern</w:t>
      </w:r>
      <w:r>
        <w:rPr>
          <w:rFonts w:ascii="Times New Roman" w:hAnsi="Times New Roman"/>
          <w:sz w:val="20"/>
        </w:rPr>
        <w:t>”), or otherwise relating to the manufacture, processing, distribution, use, treatment, storage, disposal, transport or handling of Materials of Environmental Concern (collectively, “</w:t>
      </w:r>
      <w:r>
        <w:rPr>
          <w:rFonts w:ascii="Times New Roman" w:hAnsi="Times New Roman"/>
          <w:b/>
          <w:sz w:val="20"/>
          <w:u w:val="single"/>
        </w:rPr>
        <w:t>Environmental Laws</w:t>
      </w:r>
      <w:r>
        <w:rPr>
          <w:rFonts w:ascii="Times New Roman" w:hAnsi="Times New Roman"/>
          <w:sz w:val="20"/>
        </w:rPr>
        <w:t xml:space="preserve">”), which violation includes, but is not limited to, noncompliance with any permits or other governmental authorizations required for the operation of the business of the Company or its Subsidiaries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hAnsi="Times New Roman"/>
          <w:b/>
          <w:sz w:val="20"/>
          <w:u w:val="single"/>
        </w:rPr>
        <w:t>Environmental Claims</w:t>
      </w:r>
      <w:r>
        <w:rPr>
          <w:rFonts w:ascii="Times New Roman" w:hAnsi="Times New Roman"/>
          <w:sz w:val="20"/>
        </w:rPr>
        <w:t xml:space="preserve">”),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Except as described in the Prospectus, and except as would not reasonably be expected to, individually or in the aggregate, result in a Material Adverse Change, the Company and its Subsidiaries own, possess, have valid license rights or can acquire on reasonable terms, adequate rights to use all (i) patents, patent applications, trademarks, trademark registrations, service marks, service mark registrations, Internet domain name registrations, copyrights, copyright registrations, licenses, trade secret rights (“</w:t>
      </w:r>
      <w:r>
        <w:rPr>
          <w:rFonts w:ascii="Times New Roman" w:hAnsi="Times New Roman"/>
          <w:b/>
          <w:sz w:val="20"/>
          <w:u w:val="single"/>
        </w:rPr>
        <w:t>Intellectual Property Rights</w:t>
      </w:r>
      <w:r>
        <w:rPr>
          <w:rFonts w:ascii="Times New Roman" w:hAnsi="Times New Roman"/>
          <w:sz w:val="20"/>
        </w:rPr>
        <w:t>”), and (ii) inventions, software, works of authorship, trademarks, service marks, trade names, databases, formulae, know-how, Internet domain names and other intellectual property (including trade secrets and other unpatented and/or unpatentable proprietary confidential information, systems, or procedures) (collectively, “</w:t>
      </w:r>
      <w:r>
        <w:rPr>
          <w:rFonts w:ascii="Times New Roman" w:hAnsi="Times New Roman"/>
          <w:b/>
          <w:sz w:val="20"/>
          <w:u w:val="single"/>
        </w:rPr>
        <w:t>Intellectual Property Assets</w:t>
      </w:r>
      <w:r>
        <w:rPr>
          <w:rFonts w:ascii="Times New Roman" w:hAnsi="Times New Roman"/>
          <w:sz w:val="20"/>
        </w:rPr>
        <w:t xml:space="preserve">”), necessary to conduct their respective businesses as currently conducted, and as proposed to be conducted and described in the Prospectus. The Intellectual Property Rights owned or used by the Company or its Subsidiaries have not been adjudged by a court of competent jurisdiction invalid or unenforceable in whole or in part, and there is no pending, or to the knowledge of the Company, threatened action, suit, proceeding or claim by others challenging the validity, enforceability or scope of any Intellectual Property Rights owned by, or licensed to, the Company or its Subsidiaries. The Company and its Subsidiaries have not received any opinion from their legal counsel concluding that any activities of their respective businesses infringe, misappropriate, or otherwise violate, valid and enforceable Intellectual Property Rights of any other person in any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respects, and have not received written notice of any challenge, which is to their knowledge still pending, by any other person to the rights of the Company and its Subsidiaries with respect to any material Intellectual Property Rights or material Intellectual Property Assets owned or used by the Company or its Subsidiaries. To the knowledge of the Company, there are no rights of third parties to the Intellectual Property Rights owned or licensed by the Company, including no liens, security interests, or other encumbrances, other than any rights retained by a licensor to the Company or its Subsidiaries. To the knowledge of the Company, the Company and its Subsidiaries’ respective businesses as now conducted and as proposed to be conducted and described in the Registration Statement or the Prospectus do not give rise to any infringement of, any misappropriation of, or other violation of, any valid and enforceable Intellectual Property Rights of any other person in any material respect. To the knowledge of the Company, all material licenses for the use of the Intellectual Property Rights described in the Prospectus are valid, binding upon, and enforceable by or against the parties thereto in accordance with their terms in all material respects. The Company has complied in all material respects with, and is not in breach of, any material intellectual property license and has not received any written notice of an asserted or threatened claim of breach of any material intellectual property license, and the Company has no knowledge of any breach or anticipated breach by any other person to any material intellectual property license. Except as described in the Prospectus, and except as would not reasonably be expected to, individually or in the aggregate, result in a Material Adverse Change, no written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material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except as would not reasonably be expected to, individually or in the aggregate,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Listing</w:t>
      </w:r>
      <w:r>
        <w:rPr>
          <w:rFonts w:ascii="Times New Roman" w:hAnsi="Times New Roman"/>
          <w:sz w:val="20"/>
        </w:rPr>
        <w:t xml:space="preserve">. Except as described in the Prospectus, the Company is subject to and in compliance in all material respects with the reporting requirements of Section 13 or Section 15(d) of the Exchange Act. The Common Stock is registered pursuant to Section 12(b) or Section 12(g)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written notification that the Commission or Nasdaq is contemplating terminating such registration or listing. All of the Placement Shares that have been or may be sold under this Agreement have been approved for listing on Nasdaq, subject to official notice of issuance; the Company has taken all necessary actions to ensure that, upon and at all times after Nasdaq shall have approved the Placement Shares for listing, it will be in compliance with all applicable corporate governance requirements set forth in Nasdaq’s listing rules that are then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Brokers</w:t>
      </w:r>
      <w:r>
        <w:rPr>
          <w:rFonts w:ascii="Times New Roman" w:hAnsi="Times New Roman"/>
          <w:sz w:val="20"/>
        </w:rPr>
        <w:t xml:space="preserve">. Except for TD Cowen, there is no broker, finder or other party that is entitled to receive from the Company any brokerage or finder’s fee or other fee or commission as a result of any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No Outstanding Loans or Other Indebtedness</w:t>
      </w:r>
      <w:r>
        <w:rPr>
          <w:rFonts w:ascii="Times New Roman" w:hAnsi="Times New Roman"/>
          <w:sz w:val="20"/>
        </w:rPr>
        <w:t xml:space="preserve">. Except as described in the Prospectus, there are no outstanding loans, advances (except normal advances for business expenses in the ordinary course of business) or guarantees or indebtedness by the Company to or for the benefit of any of the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(hh)</w:t>
      </w:r>
      <w:r>
        <w:rPr>
          <w:rFonts w:ascii="Times New Roman" w:hAnsi="Times New Roman"/>
          <w:sz w:val="20"/>
          <w:u w:val="single"/>
        </w:rPr>
        <w:t> No Reliance</w:t>
      </w:r>
      <w:r>
        <w:rPr>
          <w:rFonts w:ascii="Times New Roman" w:hAnsi="Times New Roman"/>
          <w:sz w:val="20"/>
        </w:rPr>
        <w:t xml:space="preserve">. The Company has not relied upon TD Cowen or legal counsel for TD Cowen for any legal, tax or accounting advice in connection with the offering and sale of the Placement Shares. </w:t>
      </w:r>
    </w:p>
    <w:p>
      <w:pPr>
        <w:pStyle w:val="TextBody"/>
        <w:bidi w:val="0"/>
        <w:spacing w:before="120" w:after="0"/>
        <w:jc w:val="left"/>
        <w:rPr>
          <w:rFonts w:ascii="Times New Roman" w:hAnsi="Times New Roman"/>
          <w:sz w:val="20"/>
        </w:rPr>
      </w:pPr>
      <w:r>
        <w:rPr>
          <w:rFonts w:ascii="Times New Roman" w:hAnsi="Times New Roman"/>
          <w:sz w:val="20"/>
        </w:rPr>
        <w:t>(ii)</w:t>
      </w:r>
      <w:r>
        <w:rPr>
          <w:rFonts w:ascii="Times New Roman" w:hAnsi="Times New Roman"/>
          <w:sz w:val="20"/>
          <w:u w:val="single"/>
        </w:rPr>
        <w:t>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(jj)</w:t>
      </w:r>
      <w:r>
        <w:rPr>
          <w:rFonts w:ascii="Times New Roman" w:hAnsi="Times New Roman"/>
          <w:sz w:val="20"/>
          <w:u w:val="single"/>
        </w:rPr>
        <w:t> Compliance with Laws</w:t>
      </w:r>
      <w:r>
        <w:rPr>
          <w:rFonts w:ascii="Times New Roman" w:hAnsi="Times New Roman"/>
          <w:sz w:val="20"/>
        </w:rPr>
        <w:t xml:space="preserve">.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reasonably be expected to, individually or in the aggregate,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(kk)</w:t>
      </w:r>
      <w:r>
        <w:rPr>
          <w:rFonts w:ascii="Times New Roman" w:hAnsi="Times New Roman"/>
          <w:sz w:val="20"/>
          <w:u w:val="single"/>
        </w:rPr>
        <w:t> Privacy Laws</w:t>
      </w:r>
      <w:r>
        <w:rPr>
          <w:rFonts w:ascii="Times New Roman" w:hAnsi="Times New Roman"/>
          <w:sz w:val="20"/>
        </w:rPr>
        <w:t>. To the Company’s knowledge, the Company and each of its Subsidiaries are, and at all prior times have been, in material compliance with all applicable Privacy Laws. “</w:t>
      </w:r>
      <w:r>
        <w:rPr>
          <w:rFonts w:ascii="Times New Roman" w:hAnsi="Times New Roman"/>
          <w:b/>
          <w:sz w:val="20"/>
          <w:u w:val="single"/>
        </w:rPr>
        <w:t>Privacy Laws</w:t>
      </w:r>
      <w:r>
        <w:rPr>
          <w:rFonts w:ascii="Times New Roman" w:hAnsi="Times New Roman"/>
          <w:sz w:val="20"/>
        </w:rPr>
        <w:t>” means all applicable data privacy and security laws and regulations, including, without limitation, the Health Insurance Portability and Accountability Act (“</w:t>
      </w:r>
      <w:r>
        <w:rPr>
          <w:rFonts w:ascii="Times New Roman" w:hAnsi="Times New Roman"/>
          <w:b/>
          <w:sz w:val="20"/>
          <w:u w:val="single"/>
        </w:rPr>
        <w:t>HIPAA</w:t>
      </w:r>
      <w:r>
        <w:rPr>
          <w:rFonts w:ascii="Times New Roman" w:hAnsi="Times New Roman"/>
          <w:sz w:val="20"/>
        </w:rPr>
        <w:t>”), as amended by the Health Information Technology for Economic and Clinical Health Act (42 U.S.C. Section 17921 et seq.); and the European Union General Data Protection Regulation (“</w:t>
      </w:r>
      <w:r>
        <w:rPr>
          <w:rFonts w:ascii="Times New Roman" w:hAnsi="Times New Roman"/>
          <w:b/>
          <w:sz w:val="20"/>
          <w:u w:val="single"/>
        </w:rPr>
        <w:t>GDPR</w:t>
      </w:r>
      <w:r>
        <w:rPr>
          <w:rFonts w:ascii="Times New Roman" w:hAnsi="Times New Roman"/>
          <w:sz w:val="20"/>
        </w:rPr>
        <w:t>”) (EU 2016/679). To ensure compliance with the Privacy Laws, the Company and each of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b/>
          <w:sz w:val="20"/>
          <w:u w:val="single"/>
        </w:rPr>
        <w:t>Policies</w:t>
      </w:r>
      <w:r>
        <w:rPr>
          <w:rFonts w:ascii="Times New Roman" w:hAnsi="Times New Roman"/>
          <w:sz w:val="20"/>
        </w:rPr>
        <w:t xml:space="preserve">”). The Company provides accurate notice of its Policies to its customers, employees, third party vendors and representatives. The Policies provide accurate and sufficient notice of the Company’s then-current privacy practices relating to its subject matter in all material respects and such Policies do not contain any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omissions of the Company’s then-current privacy practices. “</w:t>
      </w:r>
      <w:r>
        <w:rPr>
          <w:rFonts w:ascii="Times New Roman" w:hAnsi="Times New Roman"/>
          <w:b/>
          <w:sz w:val="20"/>
          <w:u w:val="single"/>
        </w:rPr>
        <w:t>Personal Data</w:t>
      </w:r>
      <w:r>
        <w:rPr>
          <w:rFonts w:ascii="Times New Roman" w:hAnsi="Times New Roman"/>
          <w:sz w:val="20"/>
        </w:rPr>
        <w:t xml:space="preserve">” means (i) a natural person’s name, street address, telephone number, email address, social security number, or customer or account number in combination with any required password or log in information that would permit access to the financial account; (ii) any information which would qualify as “personally identifying information” or similar term under the Federal Trade Commission Act, as amended, or other Privacy Laws; (iii) “protected health information” as defined by HIPAA; (iv) “personal data” as defined by GDPR; and (v) any other piece of information that allows the identification of such natural person, or his or her household, or permits the collection or 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any Privacy Laws or Policies by the Company in any material respect. Neither the Company nor any of its Subsidiaries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 </w:t>
      </w:r>
    </w:p>
    <w:p>
      <w:pPr>
        <w:pStyle w:val="TextBody"/>
        <w:bidi w:val="0"/>
        <w:spacing w:before="120" w:after="0"/>
        <w:jc w:val="left"/>
        <w:rPr>
          <w:rFonts w:ascii="Times New Roman" w:hAnsi="Times New Roman"/>
          <w:sz w:val="20"/>
        </w:rPr>
      </w:pPr>
      <w:r>
        <w:rPr>
          <w:rFonts w:ascii="Times New Roman" w:hAnsi="Times New Roman"/>
          <w:sz w:val="20"/>
        </w:rPr>
        <w:t>(ll)</w:t>
      </w:r>
      <w:r>
        <w:rPr>
          <w:rFonts w:ascii="Times New Roman" w:hAnsi="Times New Roman"/>
          <w:sz w:val="20"/>
          <w:u w:val="single"/>
        </w:rPr>
        <w:t> IT Systems</w:t>
      </w:r>
      <w:r>
        <w:rPr>
          <w:rFonts w:ascii="Times New Roman" w:hAnsi="Times New Roman"/>
          <w:sz w:val="20"/>
        </w:rPr>
        <w:t>. (i)(x) To the Company’s knowledge, there has been no material security breach, attack or other compromise of or relating to any of the Company’s and its Subsidiaries’ material information technology and computer systems, networks, hardware, software, Personal Data, or other confidential, regulated, or sensitive data (including the data of their respective customers, employees, suppliers, vendors and any third party data maintained by or on behalf of them), equipment or technology (collectively, “</w:t>
      </w:r>
      <w:r>
        <w:rPr>
          <w:rFonts w:ascii="Times New Roman" w:hAnsi="Times New Roman"/>
          <w:b/>
          <w:sz w:val="20"/>
          <w:u w:val="single"/>
        </w:rPr>
        <w:t>IT Systems and Data</w:t>
      </w:r>
      <w:r>
        <w:rPr>
          <w:rFonts w:ascii="Times New Roman" w:hAnsi="Times New Roman"/>
          <w:sz w:val="20"/>
        </w:rPr>
        <w:t xml:space="preserve">”), and (y) the Company and its Subsidiaries have not been notified of, and have no knowledge of any event or condition that would reasonably be expected to result in any material security breach, attack or compromise to their IT Systems and Data, (ii) the Company and each of its Subsidiaries have complied and are presently in compliance with, in all material respects, all applicable laws, statutes, judgments, orders, rules or regulations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(iii) the Company and each of its Subsidiaries have implemented backup and disaster recovery technology consistent with industry standards and practices and (iv) the Company and each of its Subsidiaries are in compliance with the applicable requirements of the Preventing Access to U.S. Sensitive Personal Data and Government-Related Data by Countries of Concern or Covered Persons (28 C.F.R. §§ 202 et. seq.).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(mm)</w:t>
      </w:r>
      <w:r>
        <w:rPr>
          <w:rFonts w:ascii="Times New Roman" w:hAnsi="Times New Roman"/>
          <w:sz w:val="20"/>
          <w:u w:val="single"/>
        </w:rPr>
        <w:t> Export and Import Laws</w:t>
      </w:r>
      <w:r>
        <w:rPr>
          <w:rFonts w:ascii="Times New Roman" w:hAnsi="Times New Roman"/>
          <w:sz w:val="20"/>
        </w:rPr>
        <w:t>. (i) each of the Company and the Subsidiaries has, and (ii) to the Company’s knowledge, each of their affiliates and any director, officer, agent or employee of, or other person associated with or acting on behalf of, the Company has acted at all times in compliance with applicable Export and Import Laws (as defined below), except where such noncompliance would not reasonably be expected to, individually or in the aggregate, result in a Material Adverse Change, and there are no claims, complaints, charges, investigations or proceedings pending or expected or, to the knowledge of the Company, threatened between the Company or any of the Subsidiaries and any governmental authority under any Export and Import Laws. The term “</w:t>
      </w:r>
      <w:r>
        <w:rPr>
          <w:rFonts w:ascii="Times New Roman" w:hAnsi="Times New Roman"/>
          <w:b/>
          <w:sz w:val="20"/>
          <w:u w:val="single"/>
        </w:rPr>
        <w:t>Export and Import Laws</w:t>
      </w:r>
      <w:r>
        <w:rPr>
          <w:rFonts w:ascii="Times New Roman" w:hAnsi="Times New Roman"/>
          <w:sz w:val="20"/>
        </w:rPr>
        <w:t xml:space="preserve">”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 </w:t>
      </w:r>
    </w:p>
    <w:p>
      <w:pPr>
        <w:pStyle w:val="TextBody"/>
        <w:bidi w:val="0"/>
        <w:spacing w:before="120" w:after="0"/>
        <w:jc w:val="left"/>
        <w:rPr>
          <w:rFonts w:ascii="Times New Roman" w:hAnsi="Times New Roman"/>
          <w:sz w:val="20"/>
        </w:rPr>
      </w:pPr>
      <w:r>
        <w:rPr>
          <w:rFonts w:ascii="Times New Roman" w:hAnsi="Times New Roman"/>
          <w:sz w:val="20"/>
        </w:rPr>
        <w:t>(nn)</w:t>
      </w:r>
      <w:r>
        <w:rPr>
          <w:rFonts w:ascii="Times New Roman" w:hAnsi="Times New Roman"/>
          <w:sz w:val="20"/>
          <w:u w:val="single"/>
        </w:rPr>
        <w:t> Other At The Market Sales Agreements</w:t>
      </w:r>
      <w:r>
        <w:rPr>
          <w:rFonts w:ascii="Times New Roman" w:hAnsi="Times New Roman"/>
          <w:sz w:val="20"/>
        </w:rPr>
        <w:t xml:space="preserve">. The Company is not a party to any agreement with an agent or underwriter for any other “at the market” offering. </w:t>
      </w:r>
    </w:p>
    <w:p>
      <w:pPr>
        <w:pStyle w:val="TextBody"/>
        <w:bidi w:val="0"/>
        <w:spacing w:before="120" w:after="0"/>
        <w:jc w:val="left"/>
        <w:rPr>
          <w:rFonts w:ascii="Times New Roman" w:hAnsi="Times New Roman"/>
          <w:sz w:val="20"/>
        </w:rPr>
      </w:pPr>
      <w:r>
        <w:rPr>
          <w:rFonts w:ascii="Times New Roman" w:hAnsi="Times New Roman"/>
          <w:sz w:val="20"/>
        </w:rPr>
        <w:t>(oo)</w:t>
      </w:r>
      <w:r>
        <w:rPr>
          <w:rFonts w:ascii="Times New Roman" w:hAnsi="Times New Roman"/>
          <w:sz w:val="20"/>
          <w:u w:val="single"/>
        </w:rPr>
        <w:t> Lending Relationship</w:t>
      </w:r>
      <w:r>
        <w:rPr>
          <w:rFonts w:ascii="Times New Roman" w:hAnsi="Times New Roman"/>
          <w:sz w:val="20"/>
        </w:rPr>
        <w:t xml:space="preserve">. Except as disclosed in the Prospectus, the Company does not intend to use any of the proceeds from the sale of the Placement Shares to repay any outstanding debt owed to TD Cowen or any affiliate of TD Cowen. </w:t>
      </w:r>
    </w:p>
    <w:p>
      <w:pPr>
        <w:pStyle w:val="TextBody"/>
        <w:bidi w:val="0"/>
        <w:spacing w:before="120" w:after="0"/>
        <w:jc w:val="left"/>
        <w:rPr>
          <w:rFonts w:ascii="Times New Roman" w:hAnsi="Times New Roman"/>
          <w:sz w:val="20"/>
        </w:rPr>
      </w:pPr>
      <w:r>
        <w:rPr>
          <w:rFonts w:ascii="Times New Roman" w:hAnsi="Times New Roman"/>
          <w:sz w:val="20"/>
        </w:rPr>
        <w:t>(pp)</w:t>
      </w:r>
      <w:r>
        <w:rPr>
          <w:rFonts w:ascii="Times New Roman" w:hAnsi="Times New Roman"/>
          <w:sz w:val="20"/>
          <w:u w:val="single"/>
        </w:rPr>
        <w:t> Actively-Traded Security</w:t>
      </w:r>
      <w:r>
        <w:rPr>
          <w:rFonts w:ascii="Times New Roman" w:hAnsi="Times New Roman"/>
          <w:sz w:val="20"/>
        </w:rPr>
        <w:t xml:space="preserve">. The Common Stock is an “actively-traded security” exempted from the requirements of Rule 101 of Regulation M under the Exchange Act by subsection (c)(1) of such rule. </w:t>
      </w:r>
    </w:p>
    <w:p>
      <w:pPr>
        <w:pStyle w:val="TextBody"/>
        <w:bidi w:val="0"/>
        <w:spacing w:before="120" w:after="0"/>
        <w:jc w:val="left"/>
        <w:rPr>
          <w:rFonts w:ascii="Times New Roman" w:hAnsi="Times New Roman"/>
          <w:sz w:val="20"/>
        </w:rPr>
      </w:pPr>
      <w:r>
        <w:rPr>
          <w:rFonts w:ascii="Times New Roman" w:hAnsi="Times New Roman"/>
          <w:sz w:val="20"/>
        </w:rPr>
        <w:t>(qq)</w:t>
      </w:r>
      <w:r>
        <w:rPr>
          <w:rFonts w:ascii="Times New Roman" w:hAnsi="Times New Roman"/>
          <w:sz w:val="20"/>
          <w:u w:val="single"/>
        </w:rPr>
        <w:t> Clinical Data and Regulatory Compliance</w:t>
      </w:r>
      <w:r>
        <w:rPr>
          <w:rFonts w:ascii="Times New Roman" w:hAnsi="Times New Roman"/>
          <w:sz w:val="20"/>
        </w:rPr>
        <w:t>. The preclinical tests, clinical trials and other studies (collectively, “</w:t>
      </w:r>
      <w:r>
        <w:rPr>
          <w:rFonts w:ascii="Times New Roman" w:hAnsi="Times New Roman"/>
          <w:b/>
          <w:sz w:val="20"/>
          <w:u w:val="single"/>
        </w:rPr>
        <w:t>studies</w:t>
      </w:r>
      <w:r>
        <w:rPr>
          <w:rFonts w:ascii="Times New Roman" w:hAnsi="Times New Roman"/>
          <w:sz w:val="20"/>
        </w:rPr>
        <w:t xml:space="preserve">”) that are described in, or the results of which are referred to in, the Registration Statement and the Prospectus conducted by the Company or, to the Company’s knowledge, on behalf of the Company, were and, if still pending, are being conducted in all material respects in accordance with the protocols, procedures and controls designed and approved for such studies and with standard medical and scientific research procedures, except as would not reasonably be expected to, individually or in the aggregate, result in a Material Adverse Change. Each description of the results of such studies described in the Registration Statement and the Prospectus, to the Company’s knowledge, is accurate and complete in all material respects and fairly presents in all material respects the data derived from such studies, and the Company and its Subsidiaries have no knowledge of any other studies the results of which the Company reasonably believes are inconsistent with, or otherwise call into question, the results described or referred to in the Registration Statement and the Prospectus when viewed in the context in which such results are described and the clinical state of development. Neither the Company nor any of its Subsidiaries has received any written notice of, or correspondence from, the FDA (as defined below) or any governmental entity requiring the termination, suspension or modification of any clinical trials that are described or referred to in the Registration Statement and the Prospectus, except as would not be expected to, individually or in the aggregate,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(rr)</w:t>
      </w:r>
      <w:r>
        <w:rPr>
          <w:rFonts w:ascii="Times New Roman" w:hAnsi="Times New Roman"/>
          <w:sz w:val="20"/>
          <w:u w:val="single"/>
        </w:rPr>
        <w:t> Compliance with Health Care Laws</w:t>
      </w:r>
      <w:r>
        <w:rPr>
          <w:rFonts w:ascii="Times New Roman" w:hAnsi="Times New Roman"/>
          <w:sz w:val="20"/>
        </w:rPr>
        <w:t>. The Company and each of its Subsidiaries have operated and currently are in material compliance with all applicable Health Care Laws. “Health Care Laws” means health care laws, rules, regulations, accreditations and ethical standards, including, without limitation, (i) the Federal Food, Drug, and Cosmetic Act (21 U.S.C. § 301 et seq.) (the “</w:t>
      </w:r>
      <w:r>
        <w:rPr>
          <w:rFonts w:ascii="Times New Roman" w:hAnsi="Times New Roman"/>
          <w:b/>
          <w:sz w:val="20"/>
          <w:u w:val="single"/>
        </w:rPr>
        <w:t>FDCA</w:t>
      </w:r>
      <w:r>
        <w:rPr>
          <w:rFonts w:ascii="Times New Roman" w:hAnsi="Times New Roman"/>
          <w:sz w:val="20"/>
        </w:rPr>
        <w:t>”); (ii) the Public Health Service Act (42 U.S.C. § 201 et seq.); (iii) all applicable rules and regulations of the U.S. Food and Drug Administration (“</w:t>
      </w:r>
      <w:r>
        <w:rPr>
          <w:rFonts w:ascii="Times New Roman" w:hAnsi="Times New Roman"/>
          <w:b/>
          <w:sz w:val="20"/>
          <w:u w:val="single"/>
        </w:rPr>
        <w:t>FDA</w:t>
      </w:r>
      <w:r>
        <w:rPr>
          <w:rFonts w:ascii="Times New Roman" w:hAnsi="Times New Roman"/>
          <w:sz w:val="20"/>
        </w:rPr>
        <w:t xml:space="preserve">”), including, to the extent applicable, those requirements relating to investigational use, establishment registration, and complaint handling; (iv) all applicable federal, state, local and all applicable foreign healthcare related fraud and abuse laws, including, without limitation, the federal Anti-kickback Statute (42 U.S.C. § 1320a-7b(b)), the U.S. Physician Payments Sunshine Act (42 U.S.C. § 1320a-7h), as well as any state statutes governing disclosure of payments by manufacturers or suppliers to healthcare professionals, the civil False Claims Act (31 U.S.C. §§ 3729 et seq.), the Program Fraud Civil Remedies Act of 1986 (31 U.S.C. §§ 3891 et seq.), the criminal False Claims Law (42 U.S.C. § 1320a-7b(a)), all applicable criminal laws relating to healthcare fraud and abuse, including but not limited to 18 U.S.C. Sections 286 and 287, the healthcare fraud criminal provisions under HIPAA, the exclusion laws (42 U.S.C. § 1320a-7), and the civil monetary penalties law (42 U.S.C. § 1320a-7a); (v) applicable federal or state laws pertaining to the privacy and security of patient information, including laws pertaining to the protection of genetic data or biospecimens, including, without limitation, HIPAA; (vi) the Medicare program (Title XVIII of the Social Security Act, including the amendments implemented by the Medicare Prescription Drug, Improvement, and Modernization Act of 2003 and the Medicare Improvements for Patients and Providers Act of 2008), (vii) the Medicaid program (Title XIX of the Social Security Act), (viii) the Patient Protection and Affordable Care Act (Pub. L. 111-148) as amended by the Health Care and Education Reconciliation Act of 2010 (Pub. L. 111-152), and (ix) laws applicable to clinical research, including but not limited to the federal Policy for Protection of Human Subjects (42 C.F.R. Part 46), the FDCA and its applicable implementing regulations at 21 C.F.R. Parts 50, 54, 56, 58 and 312, the United States Animal Welfare Act, the International Conference on Harmonization’s (“ICH”) Guideline on Nonclinical Safety Studies for the Conduct of Human Clinical Trials for Pharmaceuticals and the ICH Guideline on Safety Pharmacology Studies for Human Pharmaceuticals, and all equivalent legal requirements in other jurisdictions in which the Company operates, in each case for clauses (i)-(ix), to the extent applicable to the Company, if at all. The Company and each of its Subsidiaries have timely filed all material reports, applications, statements, documents, registrations, filings, corrections, updates, amendments, supplements, and submissions required to be filed by them under applicable Health Care Laws, except where failure to timely file would not reasonably be expected to, individually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in the aggregate, result in a Material Adverse Change. Each such filing was true and correct in all material respects as of the date of submission, or was corrected in or supplemented by a subsequent filing, and any material and legally necessary or required updates, changes, corrections, amendments, supplements, or modifications to such filings have been submitted to the applicable governmental or regulatory authorities. The Company maintains an operational healthcare compliance program that governs all employees and contractors and is consistent with guidance by the U.S. Department of Health and Human Services Office of Inspector General for effective compliance programs. The Company and its Subsidiaries further operate in material compliance with such healthcare compliance program. The Company and each of its Subsidiaries have not received written notice or other correspondence of any claim, action, suit, audit, or survey finding, proceeding, hearing, enforcement, investigation, arbitration or other action (“</w:t>
      </w:r>
      <w:r>
        <w:rPr>
          <w:rFonts w:ascii="Times New Roman" w:hAnsi="Times New Roman"/>
          <w:b/>
          <w:sz w:val="20"/>
          <w:u w:val="single"/>
        </w:rPr>
        <w:t>Health Care Action</w:t>
      </w:r>
      <w:r>
        <w:rPr>
          <w:rFonts w:ascii="Times New Roman" w:hAnsi="Times New Roman"/>
          <w:sz w:val="20"/>
        </w:rPr>
        <w:t xml:space="preserve">”) from any court or arbitrator or governmental or regulatory authority or third party alleging that any of their product, operation or activity is in material violation of any Health Care Laws, and, to the Company’s knowledge, no such Health Care Action is threatened. Neither the Company nor any of its Subsidiaries is a party to or has any ongoing reporting obligations pursuant to any corporate integrity agreement, deferred prosecution agreement, monitoring agreement, consent decree, settlement order, plan of correction or similar agreement imposed by any governmental or regulatory authority. Neither the Company nor any of its Subsidiaries has received any FDA Form 483, notice of adverse finding, warning letter, untitled letter or other correspondence or notice from the FDA or any other governmental or regulatory authority alleging or asserting any material noncompliance with any Health Care Laws. Additionally, (i) neither the Company nor any of its Subsidiaries has, and (ii) none of its employees, officers or directors is or has, been included in the HHS/OIG List of Excluded Individuals/Entities, the General Services Administration’s System for Award Management, or the FDA Debarment List or the FDA Disqualified/Restricted List. To the Company’s knowledge, none of the Company, any of its Subsidiaries, or any of its employees, officers or directors, is subject to a governmental inquiry, investigation, proceeding, or other similar action that could reasonably be expected to result in debarment, suspension, or exclusion. </w:t>
      </w:r>
    </w:p>
    <w:p>
      <w:pPr>
        <w:pStyle w:val="TextBody"/>
        <w:bidi w:val="0"/>
        <w:spacing w:before="120" w:after="0"/>
        <w:jc w:val="left"/>
        <w:rPr>
          <w:rFonts w:ascii="Times New Roman" w:hAnsi="Times New Roman"/>
          <w:sz w:val="20"/>
        </w:rPr>
      </w:pPr>
      <w:r>
        <w:rPr>
          <w:rFonts w:ascii="Times New Roman" w:hAnsi="Times New Roman"/>
          <w:sz w:val="20"/>
        </w:rPr>
        <w:t>(ss)</w:t>
      </w:r>
      <w:r>
        <w:rPr>
          <w:rFonts w:ascii="Times New Roman" w:hAnsi="Times New Roman"/>
          <w:sz w:val="20"/>
          <w:u w:val="single"/>
        </w:rPr>
        <w:t> Outbound Investment Security Program</w:t>
      </w:r>
      <w:r>
        <w:rPr>
          <w:rFonts w:ascii="Times New Roman" w:hAnsi="Times New Roman"/>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b/>
          <w:sz w:val="20"/>
          <w:u w:val="single"/>
        </w:rPr>
        <w:t>Covered Activity</w:t>
      </w:r>
      <w:r>
        <w:rPr>
          <w:rFonts w:ascii="Times New Roman" w:hAnsi="Times New Roman"/>
          <w:sz w:val="20"/>
        </w:rPr>
        <w:t xml:space="preserve">”).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 or plan to engage in any Covered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(tt)</w:t>
      </w:r>
      <w:r>
        <w:rPr>
          <w:rFonts w:ascii="Times New Roman" w:hAnsi="Times New Roman"/>
          <w:sz w:val="20"/>
          <w:u w:val="single"/>
        </w:rPr>
        <w:t> FINRA Exemption</w:t>
      </w:r>
      <w:r>
        <w:rPr>
          <w:rFonts w:ascii="Times New Roman" w:hAnsi="Times New Roman"/>
          <w:sz w:val="20"/>
        </w:rPr>
        <w:t xml:space="preserve">. The Company qualifies as an “experienced issuer” (within the meaning of FINRA Conduct Rule 5110(j)(6)) for purposes of the exemption from filing under FINRA Conduct Rule 5110(h)(1)(C).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 officer of the Company and delivered to TD Cowen or to counsel for TD Cowen pursuant to or in connection with this Agreement shall be deemed to be a representation by the Company to TD Cowen as to the matters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TD Cowen and, for purposes of the opinions to be delivered pursuant to </w:t>
      </w:r>
      <w:r>
        <w:rPr>
          <w:rFonts w:ascii="Times New Roman" w:hAnsi="Times New Roman"/>
          <w:sz w:val="20"/>
          <w:u w:val="single"/>
        </w:rPr>
        <w:t>Section 7</w:t>
      </w:r>
      <w:r>
        <w:rPr>
          <w:rFonts w:ascii="Times New Roman" w:hAnsi="Times New Roman"/>
          <w:sz w:val="20"/>
        </w:rPr>
        <w:t xml:space="preserve"> hereof, counsel to the Company and counsel to TD Cowen, will rely upon the accuracy and truthfulness of the foregoing representations and hereby consents to such reliance.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Covenants of the Company</w:t>
      </w:r>
      <w:r>
        <w:rPr>
          <w:rFonts w:ascii="Times New Roman" w:hAnsi="Times New Roman"/>
          <w:sz w:val="20"/>
        </w:rPr>
        <w:t xml:space="preserve">. The Company covenants and agrees with TD Cowen that: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 Amendments</w:t>
      </w:r>
      <w:r>
        <w:rPr>
          <w:rFonts w:ascii="Times New Roman" w:hAnsi="Times New Roman"/>
          <w:sz w:val="20"/>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or amendments not related to the transactions contemplated hereby, has been filed with the Commission and/or has become effective or any subsequent supplement to the Prospectus, other than documents incorporated by reference, has been filed and of any request by the Commission for any amendment or supplement to the Registration Statement or Prospectus or for additional information (in each case, insofar as it relates to the transactions contemplated hereby), (ii) 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 w:hAnsi="Times New Roman"/>
          <w:i/>
          <w:sz w:val="20"/>
        </w:rPr>
        <w:t>provided, however</w:t>
      </w:r>
      <w:r>
        <w:rPr>
          <w:rFonts w:ascii="Times New Roman" w:hAnsi="Times New Roman"/>
          <w:sz w:val="20"/>
        </w:rPr>
        <w:t xml:space="preserve">, that (x) the failure of TD Cowen to make such request shall not relieve the Company of any obligation or liability hereunder, or affect TD Cowen’s right to rely on the representations and warranties made by the Company in this Agreement and (y) the only remedy TD Cowen shall have with respect to the failure by the Company to make such filings (other than TD Cowen’s rights under </w:t>
      </w:r>
      <w:r>
        <w:rPr>
          <w:rFonts w:ascii="Times New Roman" w:hAnsi="Times New Roman"/>
          <w:sz w:val="20"/>
          <w:u w:val="single"/>
        </w:rPr>
        <w:t>Section 9</w:t>
      </w:r>
      <w:r>
        <w:rPr>
          <w:rFonts w:ascii="Times New Roman" w:hAnsi="Times New Roman"/>
          <w:sz w:val="20"/>
        </w:rPr>
        <w:t xml:space="preserve">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TD Cowen within a reasonable period of time before the filing and TD Cowen has not reasonably objected thereto (</w:t>
      </w:r>
      <w:r>
        <w:rPr>
          <w:rFonts w:ascii="Times New Roman" w:hAnsi="Times New Roman"/>
          <w:i/>
          <w:sz w:val="20"/>
        </w:rPr>
        <w:t>provided, however</w:t>
      </w:r>
      <w:r>
        <w:rPr>
          <w:rFonts w:ascii="Times New Roman" w:hAnsi="Times New Roman"/>
          <w:sz w:val="20"/>
        </w:rPr>
        <w:t xml:space="preserve">, that (A) the failure of TD Cowen to make such objection shall not relieve the Company of any obligation or liability hereunder, or affect TD Cowen’s right to rely on the representations and warranties made by the Company in this Agreement, (B) the Company has no obligation to provide TD Cowen any advance copy of such filing or to provide TD Cowen an opportunity to object to such filing if the filing does not name TD Cowen and does not relate to the transaction herein and (C) the only remedy TD Cowen shall have with respect to the failure by the Company to provide TD Cowen with such copy or the filing of such amendment or supplement despite TD Cowen’s objection (other than TD Cowen’s rights under </w:t>
      </w:r>
      <w:r>
        <w:rPr>
          <w:rFonts w:ascii="Times New Roman" w:hAnsi="Times New Roman"/>
          <w:sz w:val="20"/>
          <w:u w:val="single"/>
        </w:rPr>
        <w:t>Section 9</w:t>
      </w:r>
      <w:r>
        <w:rPr>
          <w:rFonts w:ascii="Times New Roman" w:hAnsi="Times New Roman"/>
          <w:sz w:val="20"/>
        </w:rPr>
        <w:t xml:space="preserve"> hereof) shall be to cease making sales under this Agreement until such amendment or supplement is filed)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the Prospectus Supplement pursuant to Rule 424(b) relating to the Placement Shares.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Notice of Commission Stop Orders</w:t>
      </w:r>
      <w:r>
        <w:rPr>
          <w:rFonts w:ascii="Times New Roman" w:hAnsi="Times New Roman"/>
          <w:sz w:val="20"/>
        </w:rPr>
        <w:t xml:space="preserve">.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Delivery of Prospectus; Subsequent Changes</w:t>
      </w:r>
      <w:r>
        <w:rPr>
          <w:rFonts w:ascii="Times New Roman" w:hAnsi="Times New Roman"/>
          <w:sz w:val="20"/>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reasonable best efforts to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delay the filing of any amendment or supplement if, in the judgment of the Company, it is in its best interests to do so.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Listing of Placement Shares</w:t>
      </w:r>
      <w:r>
        <w:rPr>
          <w:rFonts w:ascii="Times New Roman" w:hAnsi="Times New Roman"/>
          <w:sz w:val="20"/>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hAnsi="Times New Roman"/>
          <w:i/>
          <w:sz w:val="20"/>
        </w:rPr>
        <w:t>provided, however,</w:t>
      </w:r>
      <w:r>
        <w:rPr>
          <w:rFonts w:ascii="Times New Roman" w:hAnsi="Times New Roman"/>
          <w:sz w:val="20"/>
        </w:rPr>
        <w:t xml:space="preserve"> that the Company shall not be required in connection therewith to qualify as a foreign corporation or dealer in securities or file a general consent to service of process in any jurisdiction or be subject to taxation as a foreign corporation in any jurisdiction.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Delivery of Registration Statement and Prospectus</w:t>
      </w:r>
      <w:r>
        <w:rPr>
          <w:rFonts w:ascii="Times New Roman" w:hAnsi="Times New Roman"/>
          <w:sz w:val="20"/>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hAnsi="Times New Roman"/>
          <w:i/>
          <w:sz w:val="20"/>
        </w:rPr>
        <w:t>provided, however,</w:t>
      </w:r>
      <w:r>
        <w:rPr>
          <w:rFonts w:ascii="Times New Roman" w:hAnsi="Times New Roman"/>
          <w:sz w:val="20"/>
        </w:rPr>
        <w:t xml:space="preserve"> that the Company shall not be required to furnish any document (other than the Prospectus) to TD Cowen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Earnings Statement</w:t>
      </w:r>
      <w:r>
        <w:rPr>
          <w:rFonts w:ascii="Times New Roman" w:hAnsi="Times New Roman"/>
          <w:sz w:val="20"/>
        </w:rPr>
        <w:t xml:space="preserve">. The Company will make generally available to its securityholders as soon as practicable, but in any event not later than 15 months after the end of the Company’s current fiscal quarter, an earnings statement covering a 12-month period that satisfies the provisions of Section 11(a) and Rule 158 of the Securities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be deemed to have furnished any such statement to its securityholders to the extent it is filed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Expenses</w:t>
      </w:r>
      <w:r>
        <w:rPr>
          <w:rFonts w:ascii="Times New Roman" w:hAnsi="Times New Roman"/>
          <w:sz w:val="20"/>
        </w:rPr>
        <w:t xml:space="preserve">. The Company, whether or not the transactions contemplated hereunder are consummated or this Agreement is terminated, in accordance with the provisions of </w:t>
      </w:r>
      <w:r>
        <w:rPr>
          <w:rFonts w:ascii="Times New Roman" w:hAnsi="Times New Roman"/>
          <w:sz w:val="20"/>
          <w:u w:val="single"/>
        </w:rPr>
        <w:t>Section 11</w:t>
      </w:r>
      <w:r>
        <w:rPr>
          <w:rFonts w:ascii="Times New Roman" w:hAnsi="Times New Roman"/>
          <w:sz w:val="20"/>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hAnsi="Times New Roman"/>
          <w:sz w:val="20"/>
          <w:u w:val="single"/>
        </w:rPr>
        <w:t>Section 7(d)</w:t>
      </w:r>
      <w:r>
        <w:rPr>
          <w:rFonts w:ascii="Times New Roman" w:hAnsi="Times New Roman"/>
          <w:sz w:val="20"/>
        </w:rPr>
        <w:t xml:space="preserve"> 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(vii) up to $10,000 for the term of this Agreement for the reasonable and documented fees and disbursements of TD Cowen’s outside counsel for determining the compliance of the terms of the sale of Placement Shares with the rules of FINRA and the filing fees incident to any required filing with FINRA, and (viii) the reasonable and documented fees and disbursements of TD Cowen’s outside counsel in connection with the offering contemplated by this Agreement, in an amount not to exceed $75,000 for the term of this Agreement (exclusive of the amount set forth in clause (vii)). </w:t>
      </w:r>
    </w:p>
    <w:p>
      <w:pPr>
        <w:pStyle w:val="TextBody"/>
        <w:bidi w:val="0"/>
        <w:spacing w:before="120" w:after="0"/>
        <w:jc w:val="left"/>
        <w:rPr>
          <w:rFonts w:ascii="Times New Roman" w:hAnsi="Times New Roman"/>
          <w:sz w:val="20"/>
        </w:rPr>
      </w:pPr>
      <w:r>
        <w:rPr>
          <w:rFonts w:ascii="Times New Roman" w:hAnsi="Times New Roman"/>
          <w:sz w:val="20"/>
        </w:rPr>
        <w:t>(h)</w:t>
      </w:r>
      <w:r>
        <w:rPr>
          <w:rFonts w:ascii="Times New Roman" w:hAnsi="Times New Roman"/>
          <w:sz w:val="20"/>
          <w:u w:val="single"/>
        </w:rPr>
        <w:t> 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120" w:after="0"/>
        <w:jc w:val="left"/>
        <w:rPr>
          <w:rFonts w:ascii="Times New Roman" w:hAnsi="Times New Roman"/>
          <w:sz w:val="20"/>
        </w:rPr>
      </w:pPr>
      <w:r>
        <w:rPr>
          <w:rFonts w:ascii="Times New Roman" w:hAnsi="Times New Roman"/>
          <w:sz w:val="20"/>
        </w:rPr>
        <w:t>(i)</w:t>
      </w:r>
      <w:r>
        <w:rPr>
          <w:rFonts w:ascii="Times New Roman" w:hAnsi="Times New Roman"/>
          <w:sz w:val="20"/>
          <w:u w:val="single"/>
        </w:rPr>
        <w:t> Notice of Other Sales</w:t>
      </w:r>
      <w:r>
        <w:rPr>
          <w:rFonts w:ascii="Times New Roman" w:hAnsi="Times New Roman"/>
          <w:sz w:val="20"/>
        </w:rPr>
        <w:t xml:space="preserve">. During the pendency of any Placement Notice given hereunder, and for two (2)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hAnsi="Times New Roman"/>
          <w:i/>
          <w:sz w:val="20"/>
        </w:rPr>
        <w:t>provided</w:t>
      </w:r>
      <w:r>
        <w:rPr>
          <w:rFonts w:ascii="Times New Roman" w:hAnsi="Times New Roman"/>
          <w:sz w:val="20"/>
        </w:rPr>
        <w:t xml:space="preserve">, that such notice shall not be required in connection with the (i) issuance, grant or sale of Common Stock, options to purchase shares of Common Stock, restricted stock units, stock awards, warrants, rights or other equity awards or Common Stock issuable upon the exercise, conversion, settlement, exchange, redemption or vesting of options, restricted stock units, stock awards, warrants, rights or other equity awards pursuant to any stock option, stock bonus or other equity incentive or stock purchase plan or arrangement described in the Prospectus or pursuant to any inducement awards in accordance with Nasdaq rules,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(iv) the issuance or sale of any shares of Common Stock issuable upon the exchange, conversion or redemption of securities or the exercise of warrants, options or other rights in effect or outstanding or (v) the issuance or sale of Common Stock, or securities convertible into or exercisable for Common Stock, offered and sold in a private placement transaction to vendors, customers, strategic partners or potential strategic partners if the primary purpose is not a capital raising transaction and is otherwise conducted in a manner so as not to be integrated with the offering of Placement Shares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Change of Circumstances</w:t>
      </w:r>
      <w:r>
        <w:rPr>
          <w:rFonts w:ascii="Times New Roman" w:hAnsi="Times New Roman"/>
          <w:sz w:val="20"/>
        </w:rPr>
        <w:t xml:space="preserve">. The Company will, at any time during the pendency of a Placement Notice or sale of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Due Diligence Cooperation</w:t>
      </w:r>
      <w:r>
        <w:rPr>
          <w:rFonts w:ascii="Times New Roman" w:hAnsi="Times New Roman"/>
          <w:sz w:val="20"/>
        </w:rPr>
        <w:t xml:space="preserve">.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Required Filings Relating to Placement of Placement Shares</w:t>
      </w:r>
      <w:r>
        <w:rPr>
          <w:rFonts w:ascii="Times New Roman" w:hAnsi="Times New Roman"/>
          <w:sz w:val="20"/>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the net proceeds to the Company from the sale of the Placement Shares with respect to sales of the Placement Shares pursuant to this Agreement during the relevant period, and (ii) deliver such number of copies of each such prospectus supplement to each exchange or market on which such sales were effected as may be required by the rules or regulations of such exchange or market; </w:t>
      </w:r>
      <w:r>
        <w:rPr>
          <w:rFonts w:ascii="Times New Roman" w:hAnsi="Times New Roman"/>
          <w:i/>
          <w:sz w:val="20"/>
        </w:rPr>
        <w:t>provided</w:t>
      </w:r>
      <w:r>
        <w:rPr>
          <w:rFonts w:ascii="Times New Roman" w:hAnsi="Times New Roman"/>
          <w:sz w:val="20"/>
        </w:rPr>
        <w:t xml:space="preserve">, that, unless a prospectus supplement containing such information is required to be filed under the Securities Act, the requirement of this </w:t>
      </w:r>
      <w:r>
        <w:rPr>
          <w:rFonts w:ascii="Times New Roman" w:hAnsi="Times New Roman"/>
          <w:sz w:val="20"/>
          <w:u w:val="single"/>
        </w:rPr>
        <w:t>Section 7(l)</w:t>
      </w:r>
      <w:r>
        <w:rPr>
          <w:rFonts w:ascii="Times New Roman" w:hAnsi="Times New Roman"/>
          <w:sz w:val="20"/>
        </w:rPr>
        <w:t xml:space="preserve"> may be satisfied by the Company’s inclusion in its Quarterly Reports on Form 10-Q or its Annual Report on Form 10-K, as applicable, the number of the Placement Shares sold through TD Cowen under this Agreement and the net proceeds to the Company from the sale of the Placement Shares with respect to sales of the Placement Shares pursuant to this Agreement during the relevant quarter or, in the case of an Annual Report on Form 10-K, during the fiscal year covered by such Annual Report and the fourth quarter of such fiscal year.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Bring-Down Dates; Certificate</w:t>
      </w:r>
      <w:r>
        <w:rPr>
          <w:rFonts w:ascii="Times New Roman" w:hAnsi="Times New Roman"/>
          <w:sz w:val="20"/>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hAnsi="Times New Roman"/>
          <w:sz w:val="20"/>
          <w:u w:val="single"/>
        </w:rPr>
        <w:t>Section 7(l)</w:t>
      </w:r>
      <w:r>
        <w:rPr>
          <w:rFonts w:ascii="Times New Roman" w:hAnsi="Times New Roman"/>
          <w:sz w:val="20"/>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Exchange Act; or (iv) the Company files a Current Report on Form 8-K containing amended financial information (other than an earnings release or other financial information “furnished” pursuant to Items 2.02 or 7.01 of Form 8-K) under the Exchange Act (each date of filing of one or more of the documents referred to in clauses (i) through (iv) shall be a “</w:t>
      </w:r>
      <w:r>
        <w:rPr>
          <w:rFonts w:ascii="Times New Roman" w:hAnsi="Times New Roman"/>
          <w:b/>
          <w:sz w:val="20"/>
          <w:u w:val="single"/>
        </w:rPr>
        <w:t>Bring-Down Date</w:t>
      </w:r>
      <w:r>
        <w:rPr>
          <w:rFonts w:ascii="Times New Roman" w:hAnsi="Times New Roman"/>
          <w:sz w:val="20"/>
        </w:rPr>
        <w:t xml:space="preserve">”); the Company shall furnish TD Cowen with a certificate, in the form attached hereto as </w:t>
      </w:r>
      <w:r>
        <w:rPr>
          <w:rFonts w:ascii="Times New Roman" w:hAnsi="Times New Roman"/>
          <w:sz w:val="20"/>
          <w:u w:val="single"/>
        </w:rPr>
        <w:t>Exhibit 7(m)</w:t>
      </w:r>
      <w:r>
        <w:rPr>
          <w:rFonts w:ascii="Times New Roman" w:hAnsi="Times New Roman"/>
          <w:sz w:val="20"/>
        </w:rPr>
        <w:t xml:space="preserve"> within one (1) Trading Day of any Bring-Down Date if requested by TD Cowen. The requirement to provide a certificate under this </w:t>
      </w:r>
      <w:r>
        <w:rPr>
          <w:rFonts w:ascii="Times New Roman" w:hAnsi="Times New Roman"/>
          <w:sz w:val="20"/>
          <w:u w:val="single"/>
        </w:rPr>
        <w:t>Section 7(m)</w:t>
      </w:r>
      <w:r>
        <w:rPr>
          <w:rFonts w:ascii="Times New Roman" w:hAnsi="Times New Roman"/>
          <w:sz w:val="20"/>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TD Cowen with a certificate under this </w:t>
      </w:r>
      <w:r>
        <w:rPr>
          <w:rFonts w:ascii="Times New Roman" w:hAnsi="Times New Roman"/>
          <w:sz w:val="20"/>
          <w:u w:val="single"/>
        </w:rPr>
        <w:t>Section 7(m)</w:t>
      </w:r>
      <w:r>
        <w:rPr>
          <w:rFonts w:ascii="Times New Roman" w:hAnsi="Times New Roman"/>
          <w:sz w:val="20"/>
        </w:rPr>
        <w:t xml:space="preserve">, then before the Company delivers the Placement Notice or TD Cowen sells any Placement Shares, the Company shall provide TD Cowen with a certificate, in the form attached hereto as </w:t>
      </w:r>
      <w:r>
        <w:rPr>
          <w:rFonts w:ascii="Times New Roman" w:hAnsi="Times New Roman"/>
          <w:sz w:val="20"/>
          <w:u w:val="single"/>
        </w:rPr>
        <w:t>Exhibit 7(m)</w:t>
      </w:r>
      <w:r>
        <w:rPr>
          <w:rFonts w:ascii="Times New Roman" w:hAnsi="Times New Roman"/>
          <w:sz w:val="20"/>
        </w:rPr>
        <w:t xml:space="preserve">, dated the date of the Placement Notice.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Legal Opinion</w:t>
      </w:r>
      <w:r>
        <w:rPr>
          <w:rFonts w:ascii="Times New Roman" w:hAnsi="Times New Roman"/>
          <w:sz w:val="20"/>
        </w:rPr>
        <w:t xml:space="preserve">. On or prior to the First Delivery Date and within one (1) Trading Day of each subsequent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cause to be furnished to TD Cowen a written opinion and negative assurance letter of Gibson, Dunn &amp; Crutcher LLP (“</w:t>
      </w:r>
      <w:r>
        <w:rPr>
          <w:rFonts w:ascii="Times New Roman" w:hAnsi="Times New Roman"/>
          <w:b/>
          <w:sz w:val="20"/>
          <w:u w:val="single"/>
        </w:rPr>
        <w:t>Company Counsel</w:t>
      </w:r>
      <w:r>
        <w:rPr>
          <w:rFonts w:ascii="Times New Roman" w:hAnsi="Times New Roman"/>
          <w:sz w:val="20"/>
        </w:rPr>
        <w:t>”) and written opinion of Goodwin Procter LLP, intellectual property counsel to the Company (“</w:t>
      </w:r>
      <w:r>
        <w:rPr>
          <w:rFonts w:ascii="Times New Roman" w:hAnsi="Times New Roman"/>
          <w:b/>
          <w:sz w:val="20"/>
          <w:u w:val="single"/>
        </w:rPr>
        <w:t>Company IP Counsel</w:t>
      </w:r>
      <w:r>
        <w:rPr>
          <w:rFonts w:ascii="Times New Roman" w:hAnsi="Times New Roman"/>
          <w:sz w:val="20"/>
        </w:rPr>
        <w:t xml:space="preserve">”), or other counsel reasonably satisfactory to TD Cowen, in form and substance reasonably satisfactory to TD Cowen and its counsel, dated the date that the opinions or negative assurance letters are required to be delivered, modified, as necessary, to relate to the Registration Statement and the Prospectus as then amended or supplemented;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be required to furnish no more than one opinion of Company IP Counsel per Annual Report on Form 10-K filed by the Company unless such opinion relates to the filing of a current report on Form 8-K with respect to any material acquisition by the Company after the date of this Agreement or in connection with a Block Sale; </w:t>
      </w:r>
      <w:r>
        <w:rPr>
          <w:rFonts w:ascii="Times New Roman" w:hAnsi="Times New Roman"/>
          <w:i/>
          <w:sz w:val="20"/>
        </w:rPr>
        <w:t xml:space="preserve">provided, further </w:t>
      </w:r>
      <w:r>
        <w:rPr>
          <w:rFonts w:ascii="Times New Roman" w:hAnsi="Times New Roman"/>
          <w:sz w:val="20"/>
        </w:rPr>
        <w:t xml:space="preserve">that in lieu of such opinions or negative assurance letters for subsequent Bring-Down Dates, Company Counsel or Company IP Counsel, as applicable, may furnish TD Cowen with a letter to the effect that TD Cowen may rely on a prior opinion or negative assurance letter delivered under this </w:t>
      </w:r>
      <w:r>
        <w:rPr>
          <w:rFonts w:ascii="Times New Roman" w:hAnsi="Times New Roman"/>
          <w:sz w:val="20"/>
          <w:u w:val="single"/>
        </w:rPr>
        <w:t>Section 7(n)</w:t>
      </w:r>
      <w:r>
        <w:rPr>
          <w:rFonts w:ascii="Times New Roman" w:hAnsi="Times New Roman"/>
          <w:sz w:val="20"/>
        </w:rPr>
        <w:t xml:space="preserve"> to the same extent as if it were dated the date of such letter (except that statements in such prior opinion shall be deemed to relate to the Registration Statement and the Prospectus as amended or supplemented at such Bring-Down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Comfort Letters</w:t>
      </w:r>
      <w:r>
        <w:rPr>
          <w:rFonts w:ascii="Times New Roman" w:hAnsi="Times New Roman"/>
          <w:sz w:val="20"/>
        </w:rPr>
        <w:t xml:space="preserve">. On or prior to the First Delivery Date and within one (1) Trading Day of each subsequent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cause its independent accountants to furnish TD Cowen letters (the “</w:t>
      </w:r>
      <w:r>
        <w:rPr>
          <w:rFonts w:ascii="Times New Roman" w:hAnsi="Times New Roman"/>
          <w:b/>
          <w:sz w:val="20"/>
          <w:u w:val="single"/>
        </w:rPr>
        <w:t>Comfort Letters</w:t>
      </w:r>
      <w:r>
        <w:rPr>
          <w:rFonts w:ascii="Times New Roman" w:hAnsi="Times New Roman"/>
          <w:sz w:val="20"/>
        </w:rPr>
        <w:t>”), dated the date the Comfort Letters are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of each such set of letters, the “</w:t>
      </w:r>
      <w:r>
        <w:rPr>
          <w:rFonts w:ascii="Times New Roman" w:hAnsi="Times New Roman"/>
          <w:b/>
          <w:sz w:val="20"/>
          <w:u w:val="single"/>
        </w:rPr>
        <w:t>Initial Comfort Letters</w:t>
      </w:r>
      <w:r>
        <w:rPr>
          <w:rFonts w:ascii="Times New Roman" w:hAnsi="Times New Roman"/>
          <w:sz w:val="20"/>
        </w:rPr>
        <w:t xml:space="preserve">”) and (iii) updating the Initial Comfort Letters with any information that would have been included in the Initial Comfort Letters had they been given on such date and modified as necessary to relate to the Registration Statement and the Prospectus, as amended and supplemented to the date of such letters. </w:t>
      </w:r>
    </w:p>
    <w:p>
      <w:pPr>
        <w:pStyle w:val="TextBody"/>
        <w:bidi w:val="0"/>
        <w:spacing w:before="120" w:after="0"/>
        <w:jc w:val="left"/>
        <w:rPr>
          <w:rFonts w:ascii="Times New Roman" w:hAnsi="Times New Roman"/>
          <w:sz w:val="20"/>
        </w:rPr>
      </w:pPr>
      <w:r>
        <w:rPr>
          <w:rFonts w:ascii="Times New Roman" w:hAnsi="Times New Roman"/>
          <w:sz w:val="20"/>
        </w:rPr>
        <w:t>(p)</w:t>
      </w:r>
      <w:r>
        <w:rPr>
          <w:rFonts w:ascii="Times New Roman" w:hAnsi="Times New Roman"/>
          <w:sz w:val="20"/>
          <w:u w:val="single"/>
        </w:rPr>
        <w:t> Market Activities</w:t>
      </w:r>
      <w:r>
        <w:rPr>
          <w:rFonts w:ascii="Times New Roman" w:hAnsi="Times New Roman"/>
          <w:sz w:val="20"/>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Insurance</w:t>
      </w:r>
      <w:r>
        <w:rPr>
          <w:rFonts w:ascii="Times New Roman" w:hAnsi="Times New Roman"/>
          <w:sz w:val="20"/>
        </w:rPr>
        <w:t xml:space="preserve">. The Company and its Subsidiaries shall maintain, or cause to be maintained, insurance in such amounts and covering such risks as is reasonable and customary for the business for which it is engaged.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Compliance with Laws</w:t>
      </w:r>
      <w:r>
        <w:rPr>
          <w:rFonts w:ascii="Times New Roman" w:hAnsi="Times New Roman"/>
          <w:sz w:val="20"/>
        </w:rPr>
        <w:t xml:space="preserve">.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would not reasonably be expected to, individually or in the aggregate,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 </w:t>
      </w:r>
      <w:r>
        <w:rPr>
          <w:rFonts w:ascii="Times New Roman" w:hAnsi="Times New Roman"/>
          <w:sz w:val="20"/>
          <w:u w:val="single"/>
        </w:rPr>
        <w:t>Securities Act and Exchange Act</w:t>
      </w:r>
      <w:r>
        <w:rPr>
          <w:rFonts w:ascii="Times New Roman" w:hAnsi="Times New Roman"/>
          <w:sz w:val="20"/>
        </w:rPr>
        <w:t xml:space="preserve">. The Company will use its reasonable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No Offer to Sell</w:t>
      </w:r>
      <w:r>
        <w:rPr>
          <w:rFonts w:ascii="Times New Roman" w:hAnsi="Times New Roman"/>
          <w:sz w:val="20"/>
        </w:rPr>
        <w:t xml:space="preserve">. Other than the Prospectus or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Sarbanes-Oxley Act</w:t>
      </w:r>
      <w:r>
        <w:rPr>
          <w:rFonts w:ascii="Times New Roman" w:hAnsi="Times New Roman"/>
          <w:sz w:val="20"/>
        </w:rPr>
        <w:t xml:space="preserve">. The Company and its Subsidiaries will use their reasonable best efforts to comply with all effective applicable provisions of the Sarbanes-Oxley Act. </w:t>
      </w:r>
    </w:p>
    <w:p>
      <w:pPr>
        <w:pStyle w:val="TextBody"/>
        <w:bidi w:val="0"/>
        <w:spacing w:before="120" w:after="0"/>
        <w:jc w:val="left"/>
        <w:rPr>
          <w:rFonts w:ascii="Times New Roman" w:hAnsi="Times New Roman"/>
          <w:sz w:val="20"/>
        </w:rPr>
      </w:pPr>
      <w:r>
        <w:rPr>
          <w:rFonts w:ascii="Times New Roman" w:hAnsi="Times New Roman"/>
          <w:sz w:val="20"/>
        </w:rPr>
        <w:t>(w)</w:t>
      </w:r>
      <w:r>
        <w:rPr>
          <w:rFonts w:ascii="Times New Roman" w:hAnsi="Times New Roman"/>
          <w:sz w:val="20"/>
          <w:u w:val="single"/>
        </w:rPr>
        <w:t> Affirmation</w:t>
      </w:r>
      <w:r>
        <w:rPr>
          <w:rFonts w:ascii="Times New Roman" w:hAnsi="Times New Roman"/>
          <w:sz w:val="20"/>
        </w:rPr>
        <w:t xml:space="preserve">.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sz w:val="20"/>
          <w:u w:val="single"/>
        </w:rPr>
        <w:t>Conditions to TD Cowen’s Obligations</w:t>
      </w:r>
      <w:r>
        <w:rPr>
          <w:rFonts w:ascii="Times New Roman" w:hAnsi="Times New Roman"/>
          <w:sz w:val="20"/>
        </w:rPr>
        <w:t xml:space="preserve">.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and shall be available for (i) all sales of Placement Shares issued pursuant to all prior Placement Notices and (ii) the sale of all Placement Shares contemplated to be issued pursuant to any Placement Notice.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No Misstatement or Material Omission</w:t>
      </w:r>
      <w:r>
        <w:rPr>
          <w:rFonts w:ascii="Times New Roman" w:hAnsi="Times New Roman"/>
          <w:sz w:val="20"/>
        </w:rPr>
        <w:t xml:space="preserve">.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Company Counsel Legal Opinion</w:t>
      </w:r>
      <w:r>
        <w:rPr>
          <w:rFonts w:ascii="Times New Roman" w:hAnsi="Times New Roman"/>
          <w:sz w:val="20"/>
        </w:rPr>
        <w:t xml:space="preserve">. TD Cowen shall have received the opinions of Company Counsel and Company IP Counsel required to be delivered pursuant to </w:t>
      </w:r>
      <w:r>
        <w:rPr>
          <w:rFonts w:ascii="Times New Roman" w:hAnsi="Times New Roman"/>
          <w:sz w:val="20"/>
          <w:u w:val="single"/>
        </w:rPr>
        <w:t>Section 7(n)</w:t>
      </w:r>
      <w:r>
        <w:rPr>
          <w:rFonts w:ascii="Times New Roman" w:hAnsi="Times New Roman"/>
          <w:sz w:val="20"/>
        </w:rPr>
        <w:t xml:space="preserve"> on or before the date on which such delivery of such opinions is required pursuant to </w:t>
      </w:r>
      <w:r>
        <w:rPr>
          <w:rFonts w:ascii="Times New Roman" w:hAnsi="Times New Roman"/>
          <w:sz w:val="20"/>
          <w:u w:val="single"/>
        </w:rPr>
        <w:t>Section 7(n)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TD Cowen Counsel Legal Opinion</w:t>
      </w:r>
      <w:r>
        <w:rPr>
          <w:rFonts w:ascii="Times New Roman" w:hAnsi="Times New Roman"/>
          <w:sz w:val="20"/>
        </w:rPr>
        <w:t xml:space="preserve">. TD Cowen shall have received from Cooley LLP, counsel for TD Cowen, such opinion or opinions, on or before the date on which the delivery of the Company Counsel and Company IP Counsel legal opinions are required pursuant to </w:t>
      </w:r>
      <w:r>
        <w:rPr>
          <w:rFonts w:ascii="Times New Roman" w:hAnsi="Times New Roman"/>
          <w:sz w:val="20"/>
          <w:u w:val="single"/>
        </w:rPr>
        <w:t>Section 7(n)</w:t>
      </w:r>
      <w:r>
        <w:rPr>
          <w:rFonts w:ascii="Times New Roman" w:hAnsi="Times New Roman"/>
          <w:sz w:val="20"/>
        </w:rPr>
        <w:t xml:space="preserve">, with respect to such matters as TD Cowen may reasonably require, and the Company shall have furnished to such counsel such documents as they request for enabling them to pass upon such matters.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Comfort Letters</w:t>
      </w:r>
      <w:r>
        <w:rPr>
          <w:rFonts w:ascii="Times New Roman" w:hAnsi="Times New Roman"/>
          <w:sz w:val="20"/>
        </w:rPr>
        <w:t xml:space="preserve">. TD Cowen shall have received the Comfort Letters required to be delivered pursuant to </w:t>
      </w:r>
      <w:r>
        <w:rPr>
          <w:rFonts w:ascii="Times New Roman" w:hAnsi="Times New Roman"/>
          <w:sz w:val="20"/>
          <w:u w:val="single"/>
        </w:rPr>
        <w:t>Section 7(o)</w:t>
      </w:r>
      <w:r>
        <w:rPr>
          <w:rFonts w:ascii="Times New Roman" w:hAnsi="Times New Roman"/>
          <w:sz w:val="20"/>
        </w:rPr>
        <w:t xml:space="preserve"> on or before the date on which such delivery of such Comfort Letters is required pursuant to </w:t>
      </w:r>
      <w:r>
        <w:rPr>
          <w:rFonts w:ascii="Times New Roman" w:hAnsi="Times New Roman"/>
          <w:sz w:val="20"/>
          <w:u w:val="single"/>
        </w:rPr>
        <w:t>Section 7(o)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sz w:val="20"/>
          <w:u w:val="single"/>
        </w:rPr>
        <w:t>Representation Certificate</w:t>
      </w:r>
      <w:r>
        <w:rPr>
          <w:rFonts w:ascii="Times New Roman" w:hAnsi="Times New Roman"/>
          <w:sz w:val="20"/>
        </w:rPr>
        <w:t xml:space="preserve">. TD Cowen shall have received the certificate required to be delivered pursuant to </w:t>
      </w:r>
      <w:r>
        <w:rPr>
          <w:rFonts w:ascii="Times New Roman" w:hAnsi="Times New Roman"/>
          <w:sz w:val="20"/>
          <w:u w:val="single"/>
        </w:rPr>
        <w:t>Section 7(m)</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7(m)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Secretary’s Certificate</w:t>
      </w:r>
      <w:r>
        <w:rPr>
          <w:rFonts w:ascii="Times New Roman" w:hAnsi="Times New Roman"/>
          <w:sz w:val="20"/>
        </w:rPr>
        <w:t xml:space="preserve">. On or prior to the First Delivery Date, TD Cowen shall have received a certificate, signed on behalf of the Company by its corporate secretary, in form and substance satisfactory to TD Cowen and its counsel. </w:t>
      </w:r>
    </w:p>
    <w:p>
      <w:pPr>
        <w:pStyle w:val="TextBody"/>
        <w:bidi w:val="0"/>
        <w:spacing w:before="120" w:after="0"/>
        <w:jc w:val="left"/>
        <w:rPr>
          <w:rFonts w:ascii="Times New Roman" w:hAnsi="Times New Roman"/>
          <w:sz w:val="20"/>
        </w:rPr>
      </w:pPr>
      <w:r>
        <w:rPr>
          <w:rFonts w:ascii="Times New Roman" w:hAnsi="Times New Roman"/>
          <w:sz w:val="20"/>
        </w:rPr>
        <w:t>(j)</w:t>
      </w:r>
      <w:r>
        <w:rPr>
          <w:rFonts w:ascii="Times New Roman" w:hAnsi="Times New Roman"/>
          <w:sz w:val="20"/>
          <w:u w:val="single"/>
        </w:rPr>
        <w:t> No Suspension</w:t>
      </w:r>
      <w:r>
        <w:rPr>
          <w:rFonts w:ascii="Times New Roman" w:hAnsi="Times New Roman"/>
          <w:sz w:val="20"/>
        </w:rPr>
        <w:t xml:space="preserve">. Trading in the Common Stock shall not have been suspended on Nasdaq.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w:t>
      </w:r>
      <w:r>
        <w:rPr>
          <w:rFonts w:ascii="Times New Roman" w:hAnsi="Times New Roman"/>
          <w:sz w:val="20"/>
          <w:u w:val="single"/>
        </w:rPr>
        <w:t>Section 7(m)</w:t>
      </w:r>
      <w:r>
        <w:rPr>
          <w:rFonts w:ascii="Times New Roman" w:hAnsi="Times New Roman"/>
          <w:sz w:val="20"/>
        </w:rPr>
        <w:t xml:space="preserve">,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 under the Securities Act to have been filed prior to the issuance of any Placement Notice hereunder shall have been made within the applicable time period prescribed for such filing by Rule 424.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Approval for Listing</w:t>
      </w:r>
      <w:r>
        <w:rPr>
          <w:rFonts w:ascii="Times New Roman" w:hAnsi="Times New Roman"/>
          <w:sz w:val="20"/>
        </w:rPr>
        <w:t xml:space="preserve">. The Placement Shares shall either have been (i) approved for listing on Nasdaq, subject only to notice of issuance, or (ii) the Company shall have filed an application for listing of the Placement Shares on Nasdaq at, or prior to, the issuance of any Placement Notice.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TD Cowen to terminate this Agreement pursuant to </w:t>
      </w:r>
      <w:r>
        <w:rPr>
          <w:rFonts w:ascii="Times New Roman" w:hAnsi="Times New Roman"/>
          <w:sz w:val="20"/>
          <w:u w:val="single"/>
        </w:rPr>
        <w:t>Section 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Indemnification</w:t>
      </w:r>
      <w:r>
        <w:rPr>
          <w:rFonts w:ascii="Times New Roman" w:hAnsi="Times New Roman"/>
          <w:sz w:val="20"/>
        </w:rPr>
        <w:t xml:space="preserve">. The Company agrees to indemnify and hold harmless TD Cowen, its affiliates, and each of their respective directors, officers, partners, employees and agents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hAnsi="Times New Roman"/>
          <w:sz w:val="20"/>
          <w:u w:val="single"/>
        </w:rPr>
        <w:t>Section 9(c)</w:t>
      </w:r>
      <w:r>
        <w:rPr>
          <w:rFonts w:ascii="Times New Roman" w:hAnsi="Times New Roman"/>
          <w:sz w:val="20"/>
        </w:rPr>
        <w:t xml:space="preserve">) of, any action, suit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between any of the indemnified parties and any indemnifying parties or between any indemnified party and any third party, or otherwise, or any claim asserted),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solely Agent’s Information. “Agent’s Information” means, solely, the following information in the Prospectus: the third sentence of the eighth paragraph and the tenth paragraph under the caption “Plan of Distribution” in the Prospectus. This indemnity agreement will be in addition to any liability that the Company might otherwise have.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TD Cowen Indemnification</w:t>
      </w:r>
      <w:r>
        <w:rPr>
          <w:rFonts w:ascii="Times New Roman" w:hAnsi="Times New Roman"/>
          <w:sz w:val="20"/>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hAnsi="Times New Roman"/>
          <w:sz w:val="20"/>
          <w:u w:val="single"/>
        </w:rPr>
        <w:t>Section 9(a)</w:t>
      </w:r>
      <w:r>
        <w:rPr>
          <w:rFonts w:ascii="Times New Roman" w:hAnsi="Times New Roman"/>
          <w:sz w:val="20"/>
        </w:rPr>
        <w:t xml:space="preserve">,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w:t>
      </w:r>
      <w:r>
        <w:rPr>
          <w:rFonts w:ascii="Times New Roman" w:hAnsi="Times New Roman"/>
          <w:sz w:val="20"/>
          <w:u w:val="single"/>
        </w:rPr>
        <w:t xml:space="preserve">Section 9 </w:t>
      </w:r>
      <w:r>
        <w:rPr>
          <w:rFonts w:ascii="Times New Roman" w:hAnsi="Times New Roman"/>
          <w:sz w:val="20"/>
        </w:rPr>
        <w:t xml:space="preserve">will, promptly after receipt of written notice of commencement of any action against such party in respect of which a claim is to be made against an indemnifying party or parties under this </w:t>
      </w:r>
      <w:r>
        <w:rPr>
          <w:rFonts w:ascii="Times New Roman" w:hAnsi="Times New Roman"/>
          <w:sz w:val="20"/>
          <w:u w:val="single"/>
        </w:rPr>
        <w:t>Section 9</w:t>
      </w:r>
      <w:r>
        <w:rPr>
          <w:rFonts w:ascii="Times New Roman" w:hAnsi="Times New Roman"/>
          <w:sz w:val="20"/>
        </w:rPr>
        <w:t xml:space="preserve">, notify in writing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sz w:val="20"/>
          <w:u w:val="single"/>
        </w:rPr>
        <w:t>Section 9</w:t>
      </w:r>
      <w:r>
        <w:rPr>
          <w:rFonts w:ascii="Times New Roman" w:hAnsi="Times New Roman"/>
          <w:sz w:val="20"/>
        </w:rPr>
        <w:t xml:space="preserve"> and (ii) any liability that it may have to any indemnified party under the foregoing provision of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within 30 days after the indemnifying party receives a reasonably detailed written invoice relating to such fees, disbursements and other charges.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sz w:val="20"/>
          <w:u w:val="single"/>
        </w:rPr>
        <w:t>Section 9</w:t>
      </w:r>
      <w:r>
        <w:rPr>
          <w:rFonts w:ascii="Times New Roman" w:hAnsi="Times New Roman"/>
          <w:sz w:val="20"/>
        </w:rPr>
        <w:t xml:space="preserve"> (whether or not any indemnified party is a party thereto), unless such settlement, compromise or consent includes an unconditional release of each indemnified party from all liability arising or that may arise out of such claim, action or proceeding and does not include a statement as to or an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w:t>
      </w:r>
      <w:r>
        <w:rPr>
          <w:rFonts w:ascii="Times New Roman" w:hAnsi="Times New Roman"/>
          <w:sz w:val="20"/>
          <w:u w:val="single"/>
        </w:rPr>
        <w:t>Section 9</w:t>
      </w:r>
      <w:r>
        <w:rPr>
          <w:rFonts w:ascii="Times New Roman" w:hAnsi="Times New Roman"/>
          <w:sz w:val="20"/>
        </w:rPr>
        <w:t xml:space="preserve"> 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hand.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hAnsi="Times New Roman"/>
          <w:sz w:val="20"/>
          <w:u w:val="single"/>
        </w:rPr>
        <w:t>Section 9(d)</w:t>
      </w:r>
      <w:r>
        <w:rPr>
          <w:rFonts w:ascii="Times New Roman" w:hAnsi="Times New Roman"/>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sz w:val="20"/>
          <w:u w:val="single"/>
        </w:rPr>
        <w:t>Section 9(d)</w:t>
      </w:r>
      <w:r>
        <w:rPr>
          <w:rFonts w:ascii="Times New Roman" w:hAnsi="Times New Roman"/>
          <w:sz w:val="20"/>
        </w:rPr>
        <w:t xml:space="preserve"> shall be deemed to include, for the purpose of this </w:t>
      </w:r>
      <w:r>
        <w:rPr>
          <w:rFonts w:ascii="Times New Roman" w:hAnsi="Times New Roman"/>
          <w:sz w:val="20"/>
          <w:u w:val="single"/>
        </w:rPr>
        <w:t>Section 9(d)</w:t>
      </w:r>
      <w:r>
        <w:rPr>
          <w:rFonts w:ascii="Times New Roman" w:hAnsi="Times New Roman"/>
          <w:sz w:val="20"/>
        </w:rPr>
        <w:t xml:space="preserve">, any reasonable and documented legal or other expenses reasonably incurred by such indemnified party in connection with investigating or defending any such action or claim to the extent consistent with </w:t>
      </w:r>
      <w:r>
        <w:rPr>
          <w:rFonts w:ascii="Times New Roman" w:hAnsi="Times New Roman"/>
          <w:sz w:val="20"/>
          <w:u w:val="single"/>
        </w:rPr>
        <w:t>Section 9(c)</w:t>
      </w:r>
      <w:r>
        <w:rPr>
          <w:rFonts w:ascii="Times New Roman" w:hAnsi="Times New Roman"/>
          <w:sz w:val="20"/>
        </w:rPr>
        <w:t xml:space="preserve"> hereof. Notwithstanding the foregoing provisions of this </w:t>
      </w:r>
      <w:r>
        <w:rPr>
          <w:rFonts w:ascii="Times New Roman" w:hAnsi="Times New Roman"/>
          <w:sz w:val="20"/>
          <w:u w:val="single"/>
        </w:rPr>
        <w:t>Section 9(d)</w:t>
      </w:r>
      <w:r>
        <w:rPr>
          <w:rFonts w:ascii="Times New Roman" w:hAnsi="Times New Roman"/>
          <w:sz w:val="20"/>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found guilty of such fraudulent misrepresentation. For purposes of this </w:t>
      </w:r>
      <w:r>
        <w:rPr>
          <w:rFonts w:ascii="Times New Roman" w:hAnsi="Times New Roman"/>
          <w:sz w:val="20"/>
          <w:u w:val="single"/>
        </w:rPr>
        <w:t>Section 9(d)</w:t>
      </w:r>
      <w:r>
        <w:rPr>
          <w:rFonts w:ascii="Times New Roman" w:hAnsi="Times New Roman"/>
          <w:sz w:val="20"/>
        </w:rPr>
        <w:t xml:space="preserve">, any person who controls a party to this Agreement within the meaning of the Securities Act, and any officers, directors, partners, employees or agents of TD Cowen, will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same rights to contribution as that party, and each director and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sz w:val="20"/>
          <w:u w:val="single"/>
        </w:rPr>
        <w:t>Section 9(d)</w:t>
      </w:r>
      <w:r>
        <w:rPr>
          <w:rFonts w:ascii="Times New Roman" w:hAnsi="Times New Roman"/>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sz w:val="20"/>
          <w:u w:val="single"/>
        </w:rPr>
        <w:t>Section 9(d)</w:t>
      </w:r>
      <w:r>
        <w:rPr>
          <w:rFonts w:ascii="Times New Roman" w:hAnsi="Times New Roman"/>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sz w:val="20"/>
          <w:u w:val="single"/>
        </w:rPr>
        <w:t>Section 9(c)</w:t>
      </w:r>
      <w:r>
        <w:rPr>
          <w:rFonts w:ascii="Times New Roman" w:hAnsi="Times New Roman"/>
          <w:sz w:val="20"/>
        </w:rPr>
        <w:t xml:space="preserve"> hereof, no party will be liable for contribution with respect to any action or claim settled without its written consent if such consent is required pursuant to </w:t>
      </w:r>
      <w:r>
        <w:rPr>
          <w:rFonts w:ascii="Times New Roman" w:hAnsi="Times New Roman"/>
          <w:sz w:val="20"/>
          <w:u w:val="single"/>
        </w:rPr>
        <w:t>Section 9(c)</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w:t>
      </w:r>
      <w:r>
        <w:rPr>
          <w:rFonts w:ascii="Times New Roman" w:hAnsi="Times New Roman"/>
          <w:sz w:val="20"/>
          <w:u w:val="single"/>
        </w:rPr>
        <w:t>Section 9</w:t>
      </w:r>
      <w:r>
        <w:rPr>
          <w:rFonts w:ascii="Times New Roman" w:hAnsi="Times New Roman"/>
          <w:sz w:val="20"/>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TD Cowen shall have the right by giving written notice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(Expenses), </w:t>
      </w:r>
      <w:r>
        <w:rPr>
          <w:rFonts w:ascii="Times New Roman" w:hAnsi="Times New Roman"/>
          <w:sz w:val="20"/>
          <w:u w:val="single"/>
        </w:rPr>
        <w:t>Section 9</w:t>
      </w:r>
      <w:r>
        <w:rPr>
          <w:rFonts w:ascii="Times New Roman" w:hAnsi="Times New Roman"/>
          <w:sz w:val="20"/>
        </w:rPr>
        <w:t xml:space="preserve"> (Indemnification and Contribution), </w:t>
      </w:r>
      <w:r>
        <w:rPr>
          <w:rFonts w:ascii="Times New Roman" w:hAnsi="Times New Roman"/>
          <w:sz w:val="20"/>
          <w:u w:val="single"/>
        </w:rPr>
        <w:t>Section 10</w:t>
      </w:r>
      <w:r>
        <w:rPr>
          <w:rFonts w:ascii="Times New Roman" w:hAnsi="Times New Roman"/>
          <w:sz w:val="20"/>
        </w:rPr>
        <w:t xml:space="preserve"> (Representations and Agreements to Survive Delivery), </w:t>
      </w:r>
      <w:r>
        <w:rPr>
          <w:rFonts w:ascii="Times New Roman" w:hAnsi="Times New Roman"/>
          <w:sz w:val="20"/>
          <w:u w:val="single"/>
        </w:rPr>
        <w:t>Section 16</w:t>
      </w:r>
      <w:r>
        <w:rPr>
          <w:rFonts w:ascii="Times New Roman" w:hAnsi="Times New Roman"/>
          <w:sz w:val="20"/>
        </w:rPr>
        <w:t xml:space="preserve"> (Applicable Law; Consent to Jurisdiction) and </w:t>
      </w:r>
      <w:r>
        <w:rPr>
          <w:rFonts w:ascii="Times New Roman" w:hAnsi="Times New Roman"/>
          <w:sz w:val="20"/>
          <w:u w:val="single"/>
        </w:rPr>
        <w:t>Section 17</w:t>
      </w:r>
      <w:r>
        <w:rPr>
          <w:rFonts w:ascii="Times New Roman" w:hAnsi="Times New Roman"/>
          <w:sz w:val="20"/>
        </w:rPr>
        <w:t xml:space="preserve"> (Waiver of Jury Trial) hereof shall remain in full force and effect notwithstanding such termination. If TD Cowen elects to terminate this Agreement as provided in this </w:t>
      </w:r>
      <w:r>
        <w:rPr>
          <w:rFonts w:ascii="Times New Roman" w:hAnsi="Times New Roman"/>
          <w:sz w:val="20"/>
          <w:u w:val="single"/>
        </w:rPr>
        <w:t>Section 11(a)</w:t>
      </w:r>
      <w:r>
        <w:rPr>
          <w:rFonts w:ascii="Times New Roman" w:hAnsi="Times New Roman"/>
          <w:sz w:val="20"/>
        </w:rPr>
        <w:t xml:space="preserve">, TD Cowen shall provide the required notice as specified in </w:t>
      </w:r>
      <w:r>
        <w:rPr>
          <w:rFonts w:ascii="Times New Roman" w:hAnsi="Times New Roman"/>
          <w:sz w:val="20"/>
          <w:u w:val="single"/>
        </w:rPr>
        <w:t>Section 12</w:t>
      </w:r>
      <w:r>
        <w:rPr>
          <w:rFonts w:ascii="Times New Roman" w:hAnsi="Times New Roman"/>
          <w:sz w:val="20"/>
        </w:rPr>
        <w:t xml:space="preserve"> (Notices).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(c) 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(d) This Agreement shall remain in full force and effect unless terminated pursuant to </w:t>
      </w:r>
      <w:r>
        <w:rPr>
          <w:rFonts w:ascii="Times New Roman" w:hAnsi="Times New Roman"/>
          <w:sz w:val="20"/>
          <w:u w:val="single"/>
        </w:rPr>
        <w:t>Sections 11(a)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above or otherwise by mutual agreement of the parties; </w:t>
      </w:r>
      <w:r>
        <w:rPr>
          <w:rFonts w:ascii="Times New Roman" w:hAnsi="Times New Roman"/>
          <w:i/>
          <w:sz w:val="20"/>
        </w:rPr>
        <w:t xml:space="preserve">provided, however, </w:t>
      </w:r>
      <w:r>
        <w:rPr>
          <w:rFonts w:ascii="Times New Roman" w:hAnsi="Times New Roman"/>
          <w:sz w:val="20"/>
        </w:rPr>
        <w:t xml:space="preserve">that any such termination by mutual agreement shall in all cases be deemed to provide that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shall remain in full force and effect. Upon termination of this Agreement, the Company shall not have any liability to TD Cowen for any discount, commission or other compensation with respect to any Placement Shares not otherwise sold by TD Cowen under this Agreement, except with respect to reimbursement of expenses actually incurred by TD Cowen, if any, to the extent provided for pursuant to </w:t>
      </w:r>
      <w:r>
        <w:rPr>
          <w:rFonts w:ascii="Times New Roman" w:hAnsi="Times New Roman"/>
          <w:sz w:val="20"/>
          <w:u w:val="single"/>
        </w:rPr>
        <w:t>Section 7(g)(vii)</w:t>
      </w:r>
      <w:r>
        <w:rPr>
          <w:rFonts w:ascii="Times New Roman" w:hAnsi="Times New Roman"/>
          <w:sz w:val="20"/>
        </w:rPr>
        <w:t xml:space="preserve"> and </w:t>
      </w:r>
      <w:r>
        <w:rPr>
          <w:rFonts w:ascii="Times New Roman" w:hAnsi="Times New Roman"/>
          <w:sz w:val="20"/>
          <w:u w:val="single"/>
        </w:rPr>
        <w:t>Section 7(g)(viii)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Any termination of this Agreement shall be effective on the date specified in such notice of termination; </w:t>
      </w:r>
      <w:r>
        <w:rPr>
          <w:rFonts w:ascii="Times New Roman" w:hAnsi="Times New Roman"/>
          <w:i/>
          <w:sz w:val="20"/>
        </w:rPr>
        <w:t>provided, however,</w:t>
      </w:r>
      <w:r>
        <w:rPr>
          <w:rFonts w:ascii="Times New Roman" w:hAnsi="Times New Roman"/>
          <w:sz w:val="20"/>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Notices</w:t>
      </w:r>
      <w:r>
        <w:rPr>
          <w:rFonts w:ascii="Times New Roman" w:hAnsi="Times New Roman"/>
          <w:sz w:val="20"/>
        </w:rPr>
        <w:t xml:space="preserve">.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attention: ECM ATM Execution Team, email: </w:t>
      </w:r>
      <w:r>
        <w:rPr>
          <w:rFonts w:ascii="Times New Roman" w:hAnsi="Times New Roman"/>
          <w:sz w:val="20"/>
          <w:u w:val="single"/>
        </w:rPr>
        <w:t>atm-team@tdsecurities.com</w:t>
      </w:r>
      <w:r>
        <w:rPr>
          <w:rFonts w:ascii="Times New Roman" w:hAnsi="Times New Roman"/>
          <w:sz w:val="20"/>
        </w:rPr>
        <w:t xml:space="preserve">, with copies to </w:t>
      </w:r>
      <w:r>
        <w:rPr>
          <w:rFonts w:ascii="Times New Roman" w:hAnsi="Times New Roman"/>
          <w:sz w:val="20"/>
          <w:u w:val="single"/>
        </w:rPr>
        <w:t>CIBLegal@tdsecurities.com</w:t>
      </w:r>
      <w:r>
        <w:rPr>
          <w:rFonts w:ascii="Times New Roman" w:hAnsi="Times New Roman"/>
          <w:sz w:val="20"/>
        </w:rPr>
        <w:t xml:space="preserve"> and to Cooley LLP at Cooley LLP, 55 Hudson Yards, New York, NY 10001, attention: Daniel I. Goldberg, email: dgoldberg@cooley.com; or if sent to the Company, shall be delivered to Dianthus Therapeutics, Inc., 7 Times Square, 43rd Floor, New York, NY 10036, attention: Ryan Savitz, email: notice@dianthustx.com, with a copy to Gibson, Dunn &amp; Crutcher LLP, One Embarcadero Center Suite 2600, San Francisco, CA 94111-3715, attention: Ryan A. Murr, Branden C. Berns, email: rmurr@gibsondunn.com, bberns@gibsondunn.com. Each party to this Agreement may change such address for notices by sending to the parties to this Agreement written notice of a new address for such purpose. Each such notice or other communication shall be deemed given (i) when delivered personally or by electronic transmission to the email addresses as set forth in or provided pursuant to this </w:t>
      </w:r>
      <w:r>
        <w:rPr>
          <w:rFonts w:ascii="Times New Roman" w:hAnsi="Times New Roman"/>
          <w:sz w:val="20"/>
          <w:u w:val="single"/>
        </w:rPr>
        <w:t>Section 12</w:t>
      </w:r>
      <w:r>
        <w:rPr>
          <w:rFonts w:ascii="Times New Roman" w:hAnsi="Times New Roman"/>
          <w:sz w:val="20"/>
        </w:rPr>
        <w:t xml:space="preserve">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Nasdaq and commercial banks in the City of New York are open for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TD Cowen and their respective successors and the affiliates, controlling persons, officers and directors referred to in </w:t>
      </w:r>
      <w:r>
        <w:rPr>
          <w:rFonts w:ascii="Times New Roman" w:hAnsi="Times New Roman"/>
          <w:sz w:val="20"/>
          <w:u w:val="single"/>
        </w:rPr>
        <w:t>Section 9</w:t>
      </w:r>
      <w:r>
        <w:rPr>
          <w:rFonts w:ascii="Times New Roman" w:hAnsi="Times New Roman"/>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TD Cowen may assign its rights and obligations hereunder to an affiliate of TD Cowen without obtaining the Company’s consent.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Adjustments for Share Splits</w:t>
      </w:r>
      <w:r>
        <w:rPr>
          <w:rFonts w:ascii="Times New Roman" w:hAnsi="Times New Roman"/>
          <w:sz w:val="20"/>
        </w:rPr>
        <w:t xml:space="preserve">. The parties acknowledge and agree that all share-related numbers contained in this Agreement shall be adjusted to take into account any share split, share dividend or similar event effected with respect to the Common Stock.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Entire Agreement; Amendment; Severability</w:t>
      </w:r>
      <w:r>
        <w:rPr>
          <w:rFonts w:ascii="Times New Roman" w:hAnsi="Times New Roman"/>
          <w:sz w:val="20"/>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including that certain sales agreement by and between the Company and TD Cowen, dated October 1, 2024. Neither this Agreement nor any term hereof may be amended except pursuant to a written instrument executed by the Company and TD Cowen; </w:t>
      </w:r>
      <w:r>
        <w:rPr>
          <w:rFonts w:ascii="Times New Roman" w:hAnsi="Times New Roman"/>
          <w:i/>
          <w:sz w:val="20"/>
        </w:rPr>
        <w:t>provided</w:t>
      </w:r>
      <w:r>
        <w:rPr>
          <w:rFonts w:ascii="Times New Roman" w:hAnsi="Times New Roman"/>
          <w:sz w:val="20"/>
        </w:rPr>
        <w:t xml:space="preserve">, that each party hereto may amend the list of individuals appearing under such party’s name on </w:t>
      </w:r>
      <w:r>
        <w:rPr>
          <w:rFonts w:ascii="Times New Roman" w:hAnsi="Times New Roman"/>
          <w:b/>
          <w:sz w:val="20"/>
          <w:u w:val="single"/>
        </w:rPr>
        <w:t>Schedule 2</w:t>
      </w:r>
      <w:r>
        <w:rPr>
          <w:rFonts w:ascii="Times New Roman" w:hAnsi="Times New Roman"/>
          <w:sz w:val="20"/>
        </w:rPr>
        <w:t xml:space="preserve"> by sending a written notice containing a revised </w:t>
      </w:r>
      <w:r>
        <w:rPr>
          <w:rFonts w:ascii="Times New Roman" w:hAnsi="Times New Roman"/>
          <w:b/>
          <w:sz w:val="20"/>
        </w:rPr>
        <w:t>Schedule 2</w:t>
      </w:r>
      <w:r>
        <w:rPr>
          <w:rFonts w:ascii="Times New Roman" w:hAnsi="Times New Roman"/>
          <w:sz w:val="20"/>
        </w:rPr>
        <w:t xml:space="preserve"> to the other party in the manner provided in </w:t>
      </w:r>
      <w:r>
        <w:rPr>
          <w:rFonts w:ascii="Times New Roman" w:hAnsi="Times New Roman"/>
          <w:sz w:val="20"/>
          <w:u w:val="single"/>
        </w:rPr>
        <w:t>Section 12</w:t>
      </w:r>
      <w:r>
        <w:rPr>
          <w:rFonts w:ascii="Times New Roman" w:hAnsi="Times New Roman"/>
          <w:sz w:val="20"/>
        </w:rPr>
        <w:t xml:space="preserve">.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Applicable Law; Consent to Jurisdiction</w:t>
      </w:r>
      <w:r>
        <w:rPr>
          <w:rFonts w:ascii="Times New Roman" w:hAnsi="Times New Roman"/>
          <w:sz w:val="20"/>
        </w:rPr>
        <w:t xml:space="preserve">.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Waiver of Jury Trial</w:t>
      </w:r>
      <w:r>
        <w:rPr>
          <w:rFonts w:ascii="Times New Roman" w:hAnsi="Times New Roman"/>
          <w:sz w:val="20"/>
        </w:rPr>
        <w:t xml:space="preserve">. The Company and TD Cowen each hereby irrevocably waives any right it may have to a trial by jury in respect of any claim based upon or arising out of this Agreement or any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Absence of Fiduciary Relationship</w:t>
      </w:r>
      <w:r>
        <w:rPr>
          <w:rFonts w:ascii="Times New Roman" w:hAnsi="Times New Roman"/>
          <w:i/>
          <w:sz w:val="20"/>
        </w:rPr>
        <w:t xml:space="preserve">. </w:t>
      </w:r>
      <w:r>
        <w:rPr>
          <w:rFonts w:ascii="Times New Roman" w:hAnsi="Times New Roman"/>
          <w:sz w:val="20"/>
        </w:rPr>
        <w:t xml:space="preserve">The Company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is capable of evaluating and understanding and understands and accepts the terms, risks and conditions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the other may be made by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20</w:t>
      </w:r>
      <w:r>
        <w:rPr>
          <w:rFonts w:ascii="Times New Roman" w:hAnsi="Times New Roman"/>
          <w:sz w:val="20"/>
        </w:rPr>
        <w:t>, (a) “</w:t>
      </w:r>
      <w:r>
        <w:rPr>
          <w:rFonts w:ascii="Times New Roman" w:hAnsi="Times New Roman"/>
          <w:b/>
          <w:sz w:val="20"/>
          <w:u w:val="single"/>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u w:val="single"/>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u w:val="single"/>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TD Cowen, please so indicate in the space provided below for that purpose, whereupon this letter shall constitute a binding agreement between the Company and TD Cowen.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2"/>
        <w:gridCol w:w="68"/>
        <w:gridCol w:w="3542"/>
      </w:tblGrid>
      <w:tr>
        <w:trPr/>
        <w:tc>
          <w:tcPr>
            <w:tcW w:w="472"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472" w:type="dxa"/>
            <w:tcBorders/>
            <w:vAlign w:val="center"/>
          </w:tcPr>
          <w:p>
            <w:pPr>
              <w:pStyle w:val="TableContents"/>
              <w:bidi w:val="0"/>
              <w:spacing w:before="0" w:after="283"/>
              <w:jc w:val="left"/>
              <w:rPr>
                <w:sz w:val="4"/>
                <w:szCs w:val="4"/>
              </w:rPr>
            </w:pPr>
            <w:r>
              <w:rPr>
                <w:sz w:val="4"/>
                <w:szCs w:val="4"/>
              </w:rPr>
            </w:r>
          </w:p>
        </w:tc>
        <w:tc>
          <w:tcPr>
            <w:tcW w:w="3610" w:type="dxa"/>
            <w:gridSpan w:val="2"/>
            <w:tcBorders/>
            <w:vAlign w:val="center"/>
          </w:tcPr>
          <w:p>
            <w:pPr>
              <w:pStyle w:val="TableContents"/>
              <w:bidi w:val="0"/>
              <w:spacing w:before="0" w:after="283"/>
              <w:jc w:val="left"/>
              <w:rPr>
                <w:sz w:val="4"/>
                <w:szCs w:val="4"/>
              </w:rPr>
            </w:pPr>
            <w:r>
              <w:rPr>
                <w:sz w:val="4"/>
                <w:szCs w:val="4"/>
              </w:rPr>
            </w:r>
          </w:p>
        </w:tc>
      </w:tr>
      <w:tr>
        <w:trPr/>
        <w:tc>
          <w:tcPr>
            <w:tcW w:w="472"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5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Murphy</w:t>
            </w:r>
          </w:p>
        </w:tc>
      </w:tr>
      <w:tr>
        <w:trPr/>
        <w:tc>
          <w:tcPr>
            <w:tcW w:w="472"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left"/>
              <w:rPr/>
            </w:pPr>
            <w:r>
              <w:rPr/>
              <w:t>Name: Michael Murphy</w:t>
            </w:r>
          </w:p>
        </w:tc>
      </w:tr>
      <w:tr>
        <w:trPr/>
        <w:tc>
          <w:tcPr>
            <w:tcW w:w="472"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ACCEPTED as of the date</w:t>
            </w:r>
          </w:p>
          <w:p>
            <w:pPr>
              <w:pStyle w:val="TableContents"/>
              <w:bidi w:val="0"/>
              <w:spacing w:before="0" w:after="20"/>
              <w:jc w:val="left"/>
              <w:rPr>
                <w:rFonts w:ascii="Times New Roman" w:hAnsi="Times New Roman"/>
                <w:b/>
                <w:sz w:val="20"/>
              </w:rPr>
            </w:pPr>
            <w:r>
              <w:rPr>
                <w:rFonts w:ascii="Times New Roman" w:hAnsi="Times New Roman"/>
                <w:b/>
                <w:sz w:val="20"/>
              </w:rPr>
              <w:t>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DIANTHUS THERAPEUTICS, INC.</w:t>
            </w:r>
          </w:p>
        </w:tc>
      </w:tr>
      <w:tr>
        <w:trPr>
          <w:trHeight w:val="240" w:hRule="atLeast"/>
        </w:trPr>
        <w:tc>
          <w:tcPr>
            <w:tcW w:w="472" w:type="dxa"/>
            <w:tcBorders/>
            <w:vAlign w:val="center"/>
          </w:tcPr>
          <w:p>
            <w:pPr>
              <w:pStyle w:val="TableContents"/>
              <w:bidi w:val="0"/>
              <w:spacing w:before="0" w:after="283"/>
              <w:jc w:val="left"/>
              <w:rPr>
                <w:sz w:val="4"/>
                <w:szCs w:val="4"/>
              </w:rPr>
            </w:pPr>
            <w:r>
              <w:rPr>
                <w:sz w:val="4"/>
                <w:szCs w:val="4"/>
              </w:rPr>
            </w:r>
          </w:p>
        </w:tc>
        <w:tc>
          <w:tcPr>
            <w:tcW w:w="3610" w:type="dxa"/>
            <w:gridSpan w:val="2"/>
            <w:tcBorders/>
            <w:vAlign w:val="center"/>
          </w:tcPr>
          <w:p>
            <w:pPr>
              <w:pStyle w:val="TableContents"/>
              <w:bidi w:val="0"/>
              <w:spacing w:before="0" w:after="283"/>
              <w:jc w:val="left"/>
              <w:rPr>
                <w:sz w:val="4"/>
                <w:szCs w:val="4"/>
              </w:rPr>
            </w:pPr>
            <w:r>
              <w:rPr>
                <w:sz w:val="4"/>
                <w:szCs w:val="4"/>
              </w:rPr>
            </w:r>
          </w:p>
        </w:tc>
      </w:tr>
      <w:tr>
        <w:trPr/>
        <w:tc>
          <w:tcPr>
            <w:tcW w:w="472"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5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Savitz</w:t>
            </w:r>
          </w:p>
        </w:tc>
      </w:tr>
      <w:tr>
        <w:trPr/>
        <w:tc>
          <w:tcPr>
            <w:tcW w:w="4082" w:type="dxa"/>
            <w:gridSpan w:val="3"/>
            <w:tcBorders/>
          </w:tcPr>
          <w:p>
            <w:pPr>
              <w:pStyle w:val="TableContents"/>
              <w:bidi w:val="0"/>
              <w:spacing w:before="0" w:after="283"/>
              <w:jc w:val="left"/>
              <w:rPr/>
            </w:pPr>
            <w:r>
              <w:rPr/>
              <w:t>Name: Ryan Savitz</w:t>
            </w:r>
          </w:p>
        </w:tc>
      </w:tr>
      <w:tr>
        <w:trPr/>
        <w:tc>
          <w:tcPr>
            <w:tcW w:w="4082" w:type="dxa"/>
            <w:gridSpan w:val="3"/>
            <w:tcBorders/>
          </w:tcPr>
          <w:p>
            <w:pPr>
              <w:pStyle w:val="TableContents"/>
              <w:bidi w:val="0"/>
              <w:spacing w:before="0" w:after="283"/>
              <w:jc w:val="left"/>
              <w:rPr/>
            </w:pPr>
            <w:r>
              <w:rPr/>
              <w:t>Title: Chief Financial Officer and Chief Business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PLACEMENT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42"/>
        <w:gridCol w:w="125"/>
        <w:gridCol w:w="8838"/>
      </w:tblGrid>
      <w:tr>
        <w:trPr/>
        <w:tc>
          <w:tcPr>
            <w:tcW w:w="124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8" w:type="dxa"/>
            <w:tcBorders/>
            <w:vAlign w:val="center"/>
          </w:tcPr>
          <w:p>
            <w:pPr>
              <w:pStyle w:val="TableContents"/>
              <w:bidi w:val="0"/>
              <w:spacing w:before="0" w:after="283"/>
              <w:jc w:val="left"/>
              <w:rPr>
                <w:sz w:val="4"/>
                <w:szCs w:val="4"/>
              </w:rPr>
            </w:pPr>
            <w:r>
              <w:rPr>
                <w:sz w:val="4"/>
                <w:szCs w:val="4"/>
              </w:rPr>
            </w:r>
          </w:p>
        </w:tc>
      </w:tr>
      <w:tr>
        <w:trPr/>
        <w:tc>
          <w:tcPr>
            <w:tcW w:w="1242" w:type="dxa"/>
            <w:tcBorders/>
          </w:tcPr>
          <w:p>
            <w:pPr>
              <w:pStyle w:val="TableContents"/>
              <w:bidi w:val="0"/>
              <w:spacing w:before="0" w:after="283"/>
              <w:jc w:val="left"/>
              <w:rPr/>
            </w:pPr>
            <w:r>
              <w:rPr/>
              <w:t>From:</w:t>
            </w:r>
          </w:p>
        </w:tc>
        <w:tc>
          <w:tcPr>
            <w:tcW w:w="125" w:type="dxa"/>
            <w:tcBorders/>
            <w:vAlign w:val="bottom"/>
          </w:tcPr>
          <w:p>
            <w:pPr>
              <w:pStyle w:val="TableContents"/>
              <w:bidi w:val="0"/>
              <w:spacing w:before="0" w:after="283"/>
              <w:jc w:val="left"/>
              <w:rPr/>
            </w:pPr>
            <w:r>
              <w:rPr/>
              <w:t>  </w:t>
            </w:r>
          </w:p>
        </w:tc>
        <w:tc>
          <w:tcPr>
            <w:tcW w:w="8838" w:type="dxa"/>
            <w:tcBorders/>
          </w:tcPr>
          <w:p>
            <w:pPr>
              <w:pStyle w:val="TableContents"/>
              <w:bidi w:val="0"/>
              <w:spacing w:before="0" w:after="283"/>
              <w:jc w:val="left"/>
              <w:rPr/>
            </w:pPr>
            <w:r>
              <w:rPr/>
              <w:t>[        ]</w:t>
            </w:r>
          </w:p>
        </w:tc>
      </w:tr>
      <w:tr>
        <w:trPr/>
        <w:tc>
          <w:tcPr>
            <w:tcW w:w="1242" w:type="dxa"/>
            <w:tcBorders/>
          </w:tcPr>
          <w:p>
            <w:pPr>
              <w:pStyle w:val="TableContents"/>
              <w:bidi w:val="0"/>
              <w:spacing w:before="0" w:after="283"/>
              <w:jc w:val="left"/>
              <w:rPr/>
            </w:pPr>
            <w:r>
              <w:rPr/>
              <w:t>Cc:</w:t>
            </w:r>
          </w:p>
        </w:tc>
        <w:tc>
          <w:tcPr>
            <w:tcW w:w="125" w:type="dxa"/>
            <w:tcBorders/>
            <w:vAlign w:val="bottom"/>
          </w:tcPr>
          <w:p>
            <w:pPr>
              <w:pStyle w:val="TableContents"/>
              <w:bidi w:val="0"/>
              <w:spacing w:before="0" w:after="283"/>
              <w:jc w:val="left"/>
              <w:rPr/>
            </w:pPr>
            <w:r>
              <w:rPr/>
              <w:t>  </w:t>
            </w:r>
          </w:p>
        </w:tc>
        <w:tc>
          <w:tcPr>
            <w:tcW w:w="8838" w:type="dxa"/>
            <w:tcBorders/>
          </w:tcPr>
          <w:p>
            <w:pPr>
              <w:pStyle w:val="TableContents"/>
              <w:bidi w:val="0"/>
              <w:spacing w:before="0" w:after="283"/>
              <w:jc w:val="left"/>
              <w:rPr/>
            </w:pPr>
            <w:r>
              <w:rPr/>
              <w:t>[        ]</w:t>
            </w:r>
          </w:p>
        </w:tc>
      </w:tr>
      <w:tr>
        <w:trPr/>
        <w:tc>
          <w:tcPr>
            <w:tcW w:w="1242" w:type="dxa"/>
            <w:tcBorders/>
          </w:tcPr>
          <w:p>
            <w:pPr>
              <w:pStyle w:val="TableContents"/>
              <w:bidi w:val="0"/>
              <w:spacing w:before="0" w:after="283"/>
              <w:jc w:val="left"/>
              <w:rPr/>
            </w:pPr>
            <w:r>
              <w:rPr/>
              <w:t>To:</w:t>
            </w:r>
          </w:p>
        </w:tc>
        <w:tc>
          <w:tcPr>
            <w:tcW w:w="125" w:type="dxa"/>
            <w:tcBorders/>
            <w:vAlign w:val="bottom"/>
          </w:tcPr>
          <w:p>
            <w:pPr>
              <w:pStyle w:val="TableContents"/>
              <w:bidi w:val="0"/>
              <w:spacing w:before="0" w:after="283"/>
              <w:jc w:val="left"/>
              <w:rPr/>
            </w:pPr>
            <w:r>
              <w:rPr/>
              <w:t>  </w:t>
            </w:r>
          </w:p>
        </w:tc>
        <w:tc>
          <w:tcPr>
            <w:tcW w:w="8838" w:type="dxa"/>
            <w:tcBorders/>
          </w:tcPr>
          <w:p>
            <w:pPr>
              <w:pStyle w:val="TableContents"/>
              <w:bidi w:val="0"/>
              <w:spacing w:before="0" w:after="283"/>
              <w:jc w:val="left"/>
              <w:rPr/>
            </w:pPr>
            <w:r>
              <w:rPr/>
              <w:t>[        ]</w:t>
            </w:r>
          </w:p>
        </w:tc>
      </w:tr>
      <w:tr>
        <w:trPr/>
        <w:tc>
          <w:tcPr>
            <w:tcW w:w="1242" w:type="dxa"/>
            <w:tcBorders/>
          </w:tcPr>
          <w:p>
            <w:pPr>
              <w:pStyle w:val="TableContents"/>
              <w:bidi w:val="0"/>
              <w:spacing w:before="0" w:after="283"/>
              <w:jc w:val="left"/>
              <w:rPr/>
            </w:pPr>
            <w:r>
              <w:rPr/>
              <w:t>Subject:</w:t>
            </w:r>
          </w:p>
        </w:tc>
        <w:tc>
          <w:tcPr>
            <w:tcW w:w="125" w:type="dxa"/>
            <w:tcBorders/>
            <w:vAlign w:val="bottom"/>
          </w:tcPr>
          <w:p>
            <w:pPr>
              <w:pStyle w:val="TableContents"/>
              <w:bidi w:val="0"/>
              <w:spacing w:before="0" w:after="283"/>
              <w:jc w:val="left"/>
              <w:rPr/>
            </w:pPr>
            <w:r>
              <w:rPr/>
              <w:t>  </w:t>
            </w:r>
          </w:p>
        </w:tc>
        <w:tc>
          <w:tcPr>
            <w:tcW w:w="8838" w:type="dxa"/>
            <w:tcBorders/>
          </w:tcPr>
          <w:p>
            <w:pPr>
              <w:pStyle w:val="TableContents"/>
              <w:bidi w:val="0"/>
              <w:spacing w:before="0" w:after="283"/>
              <w:jc w:val="left"/>
              <w:rPr/>
            </w:pPr>
            <w:r>
              <w:rPr/>
              <w:t>TD Cowen At the Market Offering—Placement Notice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Whom It May Concern: </w:t>
      </w:r>
    </w:p>
    <w:p>
      <w:pPr>
        <w:pStyle w:val="TextBody"/>
        <w:bidi w:val="0"/>
        <w:spacing w:before="240" w:after="0"/>
        <w:jc w:val="left"/>
        <w:rPr>
          <w:rFonts w:ascii="Times New Roman" w:hAnsi="Times New Roman"/>
          <w:sz w:val="20"/>
        </w:rPr>
      </w:pPr>
      <w:r>
        <w:rPr>
          <w:rFonts w:ascii="Times New Roman" w:hAnsi="Times New Roman"/>
          <w:sz w:val="20"/>
        </w:rPr>
        <w:t>Pursuant to the terms and subject to the conditions contained in the Sales Agreement between Dianthus Therapeutics, Inc., a Delaware corporation (the “</w:t>
      </w:r>
      <w:r>
        <w:rPr>
          <w:rFonts w:ascii="Times New Roman" w:hAnsi="Times New Roman"/>
          <w:b/>
          <w:sz w:val="20"/>
          <w:u w:val="single"/>
        </w:rPr>
        <w:t>Company</w:t>
      </w:r>
      <w:r>
        <w:rPr>
          <w:rFonts w:ascii="Times New Roman" w:hAnsi="Times New Roman"/>
          <w:sz w:val="20"/>
        </w:rPr>
        <w:t>”), and TD Securities (USA) LLC (“</w:t>
      </w:r>
      <w:r>
        <w:rPr>
          <w:rFonts w:ascii="Times New Roman" w:hAnsi="Times New Roman"/>
          <w:b/>
          <w:sz w:val="20"/>
          <w:u w:val="single"/>
        </w:rPr>
        <w:t>TD Cowen</w:t>
      </w:r>
      <w:r>
        <w:rPr>
          <w:rFonts w:ascii="Times New Roman" w:hAnsi="Times New Roman"/>
          <w:sz w:val="20"/>
        </w:rPr>
        <w:t>”) dated September 18, 2026 (the “</w:t>
      </w:r>
      <w:r>
        <w:rPr>
          <w:rFonts w:ascii="Times New Roman" w:hAnsi="Times New Roman"/>
          <w:b/>
          <w:sz w:val="20"/>
          <w:u w:val="single"/>
        </w:rPr>
        <w:t>Agreement</w:t>
      </w:r>
      <w:r>
        <w:rPr>
          <w:rFonts w:ascii="Times New Roman" w:hAnsi="Times New Roman"/>
          <w:sz w:val="20"/>
        </w:rPr>
        <w:t xml:space="preserve">”), I hereby request on behalf of the Company that TD Cowen sell up to [ ] shares of the Company’s common stock, par value $0.001 per share, at a minimum market price of $_______ per share. Sales should begin on the date of this Notice and shall continue until [DATE] [all shares are sold].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Notice Parties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Company </w:t>
      </w:r>
    </w:p>
    <w:p>
      <w:pPr>
        <w:pStyle w:val="TextBody"/>
        <w:bidi w:val="0"/>
        <w:spacing w:before="240" w:after="0"/>
        <w:jc w:val="left"/>
        <w:rPr>
          <w:rFonts w:ascii="Times New Roman" w:hAnsi="Times New Roman"/>
          <w:sz w:val="20"/>
        </w:rPr>
      </w:pPr>
      <w:r>
        <w:rPr>
          <w:rFonts w:ascii="Times New Roman" w:hAnsi="Times New Roman"/>
          <w:sz w:val="20"/>
        </w:rPr>
        <w:t xml:space="preserve">Ryan Savitz Chief Financial Officer &amp; Chief Business Officer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7"/>
        <w:gridCol w:w="124"/>
        <w:gridCol w:w="7164"/>
      </w:tblGrid>
      <w:tr>
        <w:trPr/>
        <w:tc>
          <w:tcPr>
            <w:tcW w:w="291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164" w:type="dxa"/>
            <w:tcBorders/>
            <w:vAlign w:val="center"/>
          </w:tcPr>
          <w:p>
            <w:pPr>
              <w:pStyle w:val="TableContents"/>
              <w:bidi w:val="0"/>
              <w:spacing w:before="0" w:after="283"/>
              <w:jc w:val="left"/>
              <w:rPr>
                <w:sz w:val="4"/>
                <w:szCs w:val="4"/>
              </w:rPr>
            </w:pPr>
            <w:r>
              <w:rPr>
                <w:sz w:val="4"/>
                <w:szCs w:val="4"/>
              </w:rPr>
            </w:r>
          </w:p>
        </w:tc>
      </w:tr>
      <w:tr>
        <w:trPr/>
        <w:tc>
          <w:tcPr>
            <w:tcW w:w="29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TD Cowen</w:t>
            </w:r>
          </w:p>
        </w:tc>
        <w:tc>
          <w:tcPr>
            <w:tcW w:w="124" w:type="dxa"/>
            <w:tcBorders/>
            <w:vAlign w:val="bottom"/>
          </w:tcPr>
          <w:p>
            <w:pPr>
              <w:pStyle w:val="TableContents"/>
              <w:bidi w:val="0"/>
              <w:spacing w:before="0" w:after="283"/>
              <w:jc w:val="left"/>
              <w:rPr/>
            </w:pPr>
            <w:r>
              <w:rPr/>
              <w:t>  </w:t>
            </w:r>
          </w:p>
        </w:tc>
        <w:tc>
          <w:tcPr>
            <w:tcW w:w="7164" w:type="dxa"/>
            <w:tcBorders/>
            <w:vAlign w:val="bottom"/>
          </w:tcPr>
          <w:p>
            <w:pPr>
              <w:pStyle w:val="TableContents"/>
              <w:bidi w:val="0"/>
              <w:spacing w:before="0" w:after="283"/>
              <w:jc w:val="left"/>
              <w:rPr/>
            </w:pPr>
            <w:r>
              <w:rPr/>
              <w:t> </w:t>
            </w:r>
          </w:p>
        </w:tc>
      </w:tr>
      <w:tr>
        <w:trPr/>
        <w:tc>
          <w:tcPr>
            <w:tcW w:w="2917" w:type="dxa"/>
            <w:tcBorders/>
            <w:vAlign w:val="bottom"/>
          </w:tcPr>
          <w:p>
            <w:pPr>
              <w:pStyle w:val="TableContents"/>
              <w:bidi w:val="0"/>
              <w:spacing w:before="0" w:after="283"/>
              <w:jc w:val="left"/>
              <w:rPr/>
            </w:pPr>
            <w:r>
              <w:rPr/>
              <w:t>Michael J. Murphy</w:t>
            </w:r>
          </w:p>
        </w:tc>
        <w:tc>
          <w:tcPr>
            <w:tcW w:w="124" w:type="dxa"/>
            <w:tcBorders/>
            <w:vAlign w:val="bottom"/>
          </w:tcPr>
          <w:p>
            <w:pPr>
              <w:pStyle w:val="TableContents"/>
              <w:bidi w:val="0"/>
              <w:spacing w:before="0" w:after="283"/>
              <w:jc w:val="left"/>
              <w:rPr/>
            </w:pPr>
            <w:r>
              <w:rPr/>
              <w:t>  </w:t>
            </w:r>
          </w:p>
        </w:tc>
        <w:tc>
          <w:tcPr>
            <w:tcW w:w="7164" w:type="dxa"/>
            <w:tcBorders/>
            <w:vAlign w:val="bottom"/>
          </w:tcPr>
          <w:p>
            <w:pPr>
              <w:pStyle w:val="TableContents"/>
              <w:bidi w:val="0"/>
              <w:spacing w:before="0" w:after="283"/>
              <w:jc w:val="left"/>
              <w:rPr/>
            </w:pPr>
            <w:r>
              <w:rPr/>
              <w:t>Managing Director</w:t>
            </w:r>
          </w:p>
        </w:tc>
      </w:tr>
      <w:tr>
        <w:trPr>
          <w:trHeight w:val="120" w:hRule="atLeast"/>
        </w:trPr>
        <w:tc>
          <w:tcPr>
            <w:tcW w:w="2917" w:type="dxa"/>
            <w:tcBorders/>
            <w:vAlign w:val="center"/>
          </w:tcPr>
          <w:p>
            <w:pPr>
              <w:pStyle w:val="TableContents"/>
              <w:bidi w:val="0"/>
              <w:spacing w:before="0" w:after="283"/>
              <w:jc w:val="left"/>
              <w:rPr>
                <w:sz w:val="4"/>
                <w:szCs w:val="4"/>
              </w:rPr>
            </w:pPr>
            <w:r>
              <w:rPr>
                <w:sz w:val="4"/>
                <w:szCs w:val="4"/>
              </w:rPr>
            </w:r>
          </w:p>
        </w:tc>
        <w:tc>
          <w:tcPr>
            <w:tcW w:w="7288" w:type="dxa"/>
            <w:gridSpan w:val="2"/>
            <w:tcBorders/>
            <w:vAlign w:val="center"/>
          </w:tcPr>
          <w:p>
            <w:pPr>
              <w:pStyle w:val="TableContents"/>
              <w:bidi w:val="0"/>
              <w:spacing w:before="0" w:after="283"/>
              <w:jc w:val="left"/>
              <w:rPr>
                <w:sz w:val="4"/>
                <w:szCs w:val="4"/>
              </w:rPr>
            </w:pPr>
            <w:r>
              <w:rPr>
                <w:sz w:val="4"/>
                <w:szCs w:val="4"/>
              </w:rPr>
            </w:r>
          </w:p>
        </w:tc>
      </w:tr>
      <w:tr>
        <w:trPr/>
        <w:tc>
          <w:tcPr>
            <w:tcW w:w="2917" w:type="dxa"/>
            <w:tcBorders/>
            <w:vAlign w:val="bottom"/>
          </w:tcPr>
          <w:p>
            <w:pPr>
              <w:pStyle w:val="TableContents"/>
              <w:bidi w:val="0"/>
              <w:spacing w:before="0" w:after="283"/>
              <w:jc w:val="left"/>
              <w:rPr/>
            </w:pPr>
            <w:r>
              <w:rPr/>
              <w:t>William Follis</w:t>
            </w:r>
          </w:p>
        </w:tc>
        <w:tc>
          <w:tcPr>
            <w:tcW w:w="124" w:type="dxa"/>
            <w:tcBorders/>
            <w:vAlign w:val="bottom"/>
          </w:tcPr>
          <w:p>
            <w:pPr>
              <w:pStyle w:val="TableContents"/>
              <w:bidi w:val="0"/>
              <w:spacing w:before="0" w:after="283"/>
              <w:jc w:val="left"/>
              <w:rPr/>
            </w:pPr>
            <w:r>
              <w:rPr/>
              <w:t>  </w:t>
            </w:r>
          </w:p>
        </w:tc>
        <w:tc>
          <w:tcPr>
            <w:tcW w:w="7164" w:type="dxa"/>
            <w:tcBorders/>
            <w:vAlign w:val="bottom"/>
          </w:tcPr>
          <w:p>
            <w:pPr>
              <w:pStyle w:val="TableContents"/>
              <w:bidi w:val="0"/>
              <w:spacing w:before="0" w:after="283"/>
              <w:jc w:val="left"/>
              <w:rPr/>
            </w:pPr>
            <w:r>
              <w:rPr/>
              <w:t>Managing Director</w:t>
            </w:r>
          </w:p>
        </w:tc>
      </w:tr>
      <w:tr>
        <w:trPr>
          <w:trHeight w:val="120" w:hRule="atLeast"/>
        </w:trPr>
        <w:tc>
          <w:tcPr>
            <w:tcW w:w="2917" w:type="dxa"/>
            <w:tcBorders/>
            <w:vAlign w:val="center"/>
          </w:tcPr>
          <w:p>
            <w:pPr>
              <w:pStyle w:val="TableContents"/>
              <w:bidi w:val="0"/>
              <w:spacing w:before="0" w:after="283"/>
              <w:jc w:val="left"/>
              <w:rPr>
                <w:sz w:val="4"/>
                <w:szCs w:val="4"/>
              </w:rPr>
            </w:pPr>
            <w:r>
              <w:rPr>
                <w:sz w:val="4"/>
                <w:szCs w:val="4"/>
              </w:rPr>
            </w:r>
          </w:p>
        </w:tc>
        <w:tc>
          <w:tcPr>
            <w:tcW w:w="7288" w:type="dxa"/>
            <w:gridSpan w:val="2"/>
            <w:tcBorders/>
            <w:vAlign w:val="center"/>
          </w:tcPr>
          <w:p>
            <w:pPr>
              <w:pStyle w:val="TableContents"/>
              <w:bidi w:val="0"/>
              <w:spacing w:before="0" w:after="283"/>
              <w:jc w:val="left"/>
              <w:rPr>
                <w:sz w:val="4"/>
                <w:szCs w:val="4"/>
              </w:rPr>
            </w:pPr>
            <w:r>
              <w:rPr>
                <w:sz w:val="4"/>
                <w:szCs w:val="4"/>
              </w:rPr>
            </w:r>
          </w:p>
        </w:tc>
      </w:tr>
      <w:tr>
        <w:trPr/>
        <w:tc>
          <w:tcPr>
            <w:tcW w:w="2917" w:type="dxa"/>
            <w:tcBorders/>
            <w:vAlign w:val="bottom"/>
          </w:tcPr>
          <w:p>
            <w:pPr>
              <w:pStyle w:val="TableContents"/>
              <w:bidi w:val="0"/>
              <w:spacing w:before="0" w:after="283"/>
              <w:jc w:val="left"/>
              <w:rPr/>
            </w:pPr>
            <w:r>
              <w:rPr/>
              <w:t>Adriano Pierroz</w:t>
            </w:r>
          </w:p>
        </w:tc>
        <w:tc>
          <w:tcPr>
            <w:tcW w:w="124" w:type="dxa"/>
            <w:tcBorders/>
            <w:vAlign w:val="bottom"/>
          </w:tcPr>
          <w:p>
            <w:pPr>
              <w:pStyle w:val="TableContents"/>
              <w:bidi w:val="0"/>
              <w:spacing w:before="0" w:after="283"/>
              <w:jc w:val="left"/>
              <w:rPr/>
            </w:pPr>
            <w:r>
              <w:rPr/>
              <w:t>  </w:t>
            </w:r>
          </w:p>
        </w:tc>
        <w:tc>
          <w:tcPr>
            <w:tcW w:w="7164" w:type="dxa"/>
            <w:tcBorders/>
            <w:vAlign w:val="bottom"/>
          </w:tcPr>
          <w:p>
            <w:pPr>
              <w:pStyle w:val="TableContents"/>
              <w:bidi w:val="0"/>
              <w:spacing w:before="0" w:after="283"/>
              <w:jc w:val="left"/>
              <w:rPr/>
            </w:pPr>
            <w:r>
              <w:rPr/>
              <w:t>Director</w:t>
            </w:r>
          </w:p>
        </w:tc>
      </w:tr>
      <w:tr>
        <w:trPr>
          <w:trHeight w:val="120" w:hRule="atLeast"/>
        </w:trPr>
        <w:tc>
          <w:tcPr>
            <w:tcW w:w="2917" w:type="dxa"/>
            <w:tcBorders/>
            <w:vAlign w:val="center"/>
          </w:tcPr>
          <w:p>
            <w:pPr>
              <w:pStyle w:val="TableContents"/>
              <w:bidi w:val="0"/>
              <w:spacing w:before="0" w:after="283"/>
              <w:jc w:val="left"/>
              <w:rPr>
                <w:sz w:val="4"/>
                <w:szCs w:val="4"/>
              </w:rPr>
            </w:pPr>
            <w:r>
              <w:rPr>
                <w:sz w:val="4"/>
                <w:szCs w:val="4"/>
              </w:rPr>
            </w:r>
          </w:p>
        </w:tc>
        <w:tc>
          <w:tcPr>
            <w:tcW w:w="7288" w:type="dxa"/>
            <w:gridSpan w:val="2"/>
            <w:tcBorders/>
            <w:vAlign w:val="center"/>
          </w:tcPr>
          <w:p>
            <w:pPr>
              <w:pStyle w:val="TableContents"/>
              <w:bidi w:val="0"/>
              <w:spacing w:before="0" w:after="283"/>
              <w:jc w:val="left"/>
              <w:rPr>
                <w:sz w:val="4"/>
                <w:szCs w:val="4"/>
              </w:rPr>
            </w:pPr>
            <w:r>
              <w:rPr>
                <w:sz w:val="4"/>
                <w:szCs w:val="4"/>
              </w:rPr>
            </w:r>
          </w:p>
        </w:tc>
      </w:tr>
      <w:tr>
        <w:trPr/>
        <w:tc>
          <w:tcPr>
            <w:tcW w:w="2917" w:type="dxa"/>
            <w:tcBorders/>
            <w:vAlign w:val="bottom"/>
          </w:tcPr>
          <w:p>
            <w:pPr>
              <w:pStyle w:val="TableContents"/>
              <w:bidi w:val="0"/>
              <w:spacing w:before="0" w:after="283"/>
              <w:jc w:val="left"/>
              <w:rPr/>
            </w:pPr>
            <w:r>
              <w:rPr/>
              <w:t>Megan Sanford</w:t>
            </w:r>
          </w:p>
        </w:tc>
        <w:tc>
          <w:tcPr>
            <w:tcW w:w="124" w:type="dxa"/>
            <w:tcBorders/>
            <w:vAlign w:val="bottom"/>
          </w:tcPr>
          <w:p>
            <w:pPr>
              <w:pStyle w:val="TableContents"/>
              <w:bidi w:val="0"/>
              <w:spacing w:before="0" w:after="283"/>
              <w:jc w:val="left"/>
              <w:rPr/>
            </w:pPr>
            <w:r>
              <w:rPr/>
              <w:t>  </w:t>
            </w:r>
          </w:p>
        </w:tc>
        <w:tc>
          <w:tcPr>
            <w:tcW w:w="7164" w:type="dxa"/>
            <w:tcBorders/>
            <w:vAlign w:val="bottom"/>
          </w:tcPr>
          <w:p>
            <w:pPr>
              <w:pStyle w:val="TableContents"/>
              <w:bidi w:val="0"/>
              <w:spacing w:before="0" w:after="283"/>
              <w:jc w:val="left"/>
              <w:rPr/>
            </w:pPr>
            <w:r>
              <w:rPr/>
              <w:t>Analyst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Compensation </w:t>
      </w:r>
    </w:p>
    <w:p>
      <w:pPr>
        <w:pStyle w:val="TextBody"/>
        <w:bidi w:val="0"/>
        <w:spacing w:before="240" w:after="0"/>
        <w:jc w:val="left"/>
        <w:rPr>
          <w:rFonts w:ascii="Times New Roman" w:hAnsi="Times New Roman"/>
          <w:sz w:val="20"/>
        </w:rPr>
      </w:pPr>
      <w:r>
        <w:rPr>
          <w:rFonts w:ascii="Times New Roman" w:hAnsi="Times New Roman"/>
          <w:sz w:val="20"/>
        </w:rPr>
        <w:t xml:space="preserve">TD Cowen shall be paid compensation up to 3.0% of the gross proceeds from the sales of Common Stock pursuant to the terms of this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7(m)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OFFICER CERTIFICATE </w:t>
      </w:r>
    </w:p>
    <w:p>
      <w:pPr>
        <w:pStyle w:val="TextBody"/>
        <w:bidi w:val="0"/>
        <w:spacing w:before="240" w:after="0"/>
        <w:jc w:val="left"/>
        <w:rPr>
          <w:rFonts w:ascii="Times New Roman" w:hAnsi="Times New Roman"/>
          <w:sz w:val="20"/>
        </w:rPr>
      </w:pPr>
      <w:r>
        <w:rPr>
          <w:rFonts w:ascii="Times New Roman" w:hAnsi="Times New Roman"/>
          <w:sz w:val="20"/>
        </w:rPr>
        <w:t>The undersigned, the duly qualified and elected Chief Financial Officer and Chief Business Officer of Dianthus Therapeutics, Inc., a Delaware corporation (“</w:t>
      </w:r>
      <w:r>
        <w:rPr>
          <w:rFonts w:ascii="Times New Roman" w:hAnsi="Times New Roman"/>
          <w:b/>
          <w:sz w:val="20"/>
          <w:u w:val="single"/>
        </w:rPr>
        <w:t>Company</w:t>
      </w:r>
      <w:r>
        <w:rPr>
          <w:rFonts w:ascii="Times New Roman" w:hAnsi="Times New Roman"/>
          <w:sz w:val="20"/>
        </w:rPr>
        <w:t xml:space="preserve">”), does hereby certify in such capacity and on behalf of the Company, pursuant to </w:t>
      </w:r>
      <w:r>
        <w:rPr>
          <w:rFonts w:ascii="Times New Roman" w:hAnsi="Times New Roman"/>
          <w:sz w:val="20"/>
          <w:u w:val="single"/>
        </w:rPr>
        <w:t>Section 7(m)</w:t>
      </w:r>
      <w:r>
        <w:rPr>
          <w:rFonts w:ascii="Times New Roman" w:hAnsi="Times New Roman"/>
          <w:sz w:val="20"/>
        </w:rPr>
        <w:t xml:space="preserve"> of the Sales Agreement dated September 18, 2026 (the “</w:t>
      </w:r>
      <w:r>
        <w:rPr>
          <w:rFonts w:ascii="Times New Roman" w:hAnsi="Times New Roman"/>
          <w:b/>
          <w:sz w:val="20"/>
          <w:u w:val="single"/>
        </w:rPr>
        <w:t>Sales Agreement</w:t>
      </w:r>
      <w:r>
        <w:rPr>
          <w:rFonts w:ascii="Times New Roman" w:hAnsi="Times New Roman"/>
          <w:sz w:val="20"/>
        </w:rPr>
        <w:t xml:space="preserve">”) between the Company and TD Securities (USA) LLC, that to the knowledge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(i) The representations and warranties of the Company in </w:t>
      </w:r>
      <w:r>
        <w:rPr>
          <w:rFonts w:ascii="Times New Roman" w:hAnsi="Times New Roman"/>
          <w:sz w:val="20"/>
          <w:u w:val="single"/>
        </w:rPr>
        <w:t>Section 6</w:t>
      </w:r>
      <w:r>
        <w:rPr>
          <w:rFonts w:ascii="Times New Roman" w:hAnsi="Times New Roman"/>
          <w:sz w:val="20"/>
        </w:rPr>
        <w:t xml:space="preserve"> of the Sales Agreement (A) to the extent such representations and warranties are subject to qualifications and exceptions contained therein relating to materiality or Material Adverse Change (as defined in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has complied with all agreements and satisfied all conditions on its part to be performed or satisfied pursuant to the Sales Agreement at 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and Cooley LLP are entitled to rely on this certificate in connection with the respective opinions such firms are rendering pursuant to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without definition shall have the meanings given to such terms in the Sales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DIANTHUS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30" w:name="d184758dex49.htm"/>
      <w:bookmarkStart w:id="31" w:name="ksd184758dex49"/>
      <w:bookmarkEnd w:id="30"/>
      <w:bookmarkEnd w:id="31"/>
      <w:r>
        <w:rPr>
          <w:rFonts w:ascii="Times New Roman" w:hAnsi="Times New Roman"/>
          <w:b/>
          <w:sz w:val="20"/>
        </w:rPr>
        <w:t xml:space="preserve">Exhibit 4.9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DIANTHUS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Debt Securities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202 </w:t>
      </w:r>
    </w:p>
    <w:p>
      <w:pPr>
        <w:pStyle w:val="TextBody"/>
        <w:bidi w:val="0"/>
        <w:spacing w:before="240" w:after="0"/>
        <w:jc w:val="center"/>
        <w:rPr>
          <w:rFonts w:ascii="Times New Roman" w:hAnsi="Times New Roman"/>
          <w:sz w:val="20"/>
        </w:rPr>
      </w:pPr>
      <w:r>
        <w:rPr>
          <w:rFonts w:ascii="Times New Roman" w:hAnsi="Times New Roman"/>
          <w:sz w:val="20"/>
        </w:rPr>
        <w:t xml:space="preserve">[    ],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This Cross-Reference Table is not a part of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25"/>
        <w:gridCol w:w="139"/>
        <w:gridCol w:w="64"/>
        <w:gridCol w:w="1815"/>
        <w:gridCol w:w="62"/>
      </w:tblGrid>
      <w:tr>
        <w:trPr/>
        <w:tc>
          <w:tcPr>
            <w:tcW w:w="812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125" w:type="dxa"/>
            <w:tcBorders/>
            <w:vAlign w:val="bottom"/>
          </w:tcPr>
          <w:p>
            <w:pPr>
              <w:pStyle w:val="TableContents"/>
              <w:bidi w:val="0"/>
              <w:spacing w:before="0" w:after="283"/>
              <w:jc w:val="left"/>
              <w:rPr>
                <w:b/>
              </w:rPr>
            </w:pPr>
            <w:r>
              <w:rPr>
                <w:b/>
              </w:rPr>
              <w:t>TIA Section</w:t>
            </w:r>
          </w:p>
        </w:tc>
        <w:tc>
          <w:tcPr>
            <w:tcW w:w="139" w:type="dxa"/>
            <w:tcBorders/>
            <w:vAlign w:val="bottom"/>
          </w:tcPr>
          <w:p>
            <w:pPr>
              <w:pStyle w:val="TableContents"/>
              <w:bidi w:val="0"/>
              <w:spacing w:before="0" w:after="283"/>
              <w:jc w:val="left"/>
              <w:rPr/>
            </w:pPr>
            <w:r>
              <w:rPr/>
              <w:t>  </w:t>
            </w:r>
          </w:p>
        </w:tc>
        <w:tc>
          <w:tcPr>
            <w:tcW w:w="1879" w:type="dxa"/>
            <w:gridSpan w:val="2"/>
            <w:tcBorders/>
            <w:vAlign w:val="bottom"/>
          </w:tcPr>
          <w:p>
            <w:pPr>
              <w:pStyle w:val="TableContents"/>
              <w:bidi w:val="0"/>
              <w:spacing w:before="0" w:after="283"/>
              <w:jc w:val="right"/>
              <w:rPr>
                <w:b/>
              </w:rPr>
            </w:pPr>
            <w:r>
              <w:rPr>
                <w:b/>
              </w:rPr>
              <w:t>Indenture Section</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310(a)(1)</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7.10</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7.10</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(a)(3)</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N.A.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(a)(4)</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N.A.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7.08; 7.10; 12.02</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311(a)</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7.11</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7.11</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N.A.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2.05</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12.03</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12.03</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313(a)</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7.06</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(b)(1)</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N.A.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(b)(2)</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7.06</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12.02</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7.06</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4.03; 12.02</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N.A.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(c)(1)</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12.04</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(c)(2)</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12.04</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(c)(3)</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N.A.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N.A.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12.05</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7.01(b)</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7.05; 12.02</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7.01(a)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7.01(c)</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6.11</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316(a)(last sentence)</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12.06</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(a)(1)(A)</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6.05</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(a)(1)(B)</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6.04</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N.A.</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6.07</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317(a)(1)</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6.08</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6.09</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2.04</w:t>
            </w:r>
          </w:p>
        </w:tc>
        <w:tc>
          <w:tcPr>
            <w:tcW w:w="62" w:type="dxa"/>
            <w:tcBorders/>
            <w:vAlign w:val="bottom"/>
          </w:tcPr>
          <w:p>
            <w:pPr>
              <w:pStyle w:val="TableContents"/>
              <w:bidi w:val="0"/>
              <w:spacing w:before="0" w:after="283"/>
              <w:jc w:val="left"/>
              <w:rPr/>
            </w:pPr>
            <w:r>
              <w:rPr/>
              <w:t> </w:t>
            </w:r>
          </w:p>
        </w:tc>
      </w:tr>
      <w:tr>
        <w:trPr/>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13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12.01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N.A. means Not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This Table of Contents is not a part of the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77"/>
        <w:gridCol w:w="97"/>
        <w:gridCol w:w="8036"/>
        <w:gridCol w:w="138"/>
        <w:gridCol w:w="60"/>
        <w:gridCol w:w="533"/>
        <w:gridCol w:w="64"/>
      </w:tblGrid>
      <w:tr>
        <w:trPr/>
        <w:tc>
          <w:tcPr>
            <w:tcW w:w="1277"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803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Definitions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- 1 -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Other Definitions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- 4 -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Incorporation by Reference of Trust Indenture Act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- 4 -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Rules of Construction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- 4 -</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b/>
              </w:rPr>
            </w:pPr>
            <w:r>
              <w:rPr>
                <w:b/>
              </w:rPr>
              <w:t>ARTICLE TWO</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b/>
              </w:rPr>
            </w:pPr>
            <w:r>
              <w:rPr>
                <w:b/>
              </w:rPr>
              <w:t>THE SECURITIES</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Form and Dating</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- 5 -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Execution and Authentication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- 6 -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Registrar and Paying Agent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- 6 -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Paying Agent to Hold Money in Trust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- 7 -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Securityholder Lists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- 7 -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Transfer and Exchange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- 7 -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Replacement Securities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- 7 -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Outstanding Securities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- 8 -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Temporary Securities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- 8 -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Cancellation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- 8 -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Defaulted Interest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- 8 -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Treasury Securities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- 9 -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CUSIP/ISIN Numbers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- 9 -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Deposit of Moneys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- 9 -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Book-Entry Provisions for Global Security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- 9 -</w:t>
            </w:r>
          </w:p>
        </w:tc>
        <w:tc>
          <w:tcPr>
            <w:tcW w:w="64" w:type="dxa"/>
            <w:tcBorders/>
            <w:vAlign w:val="bottom"/>
          </w:tcPr>
          <w:p>
            <w:pPr>
              <w:pStyle w:val="TableContents"/>
              <w:bidi w:val="0"/>
              <w:spacing w:before="0" w:after="283"/>
              <w:jc w:val="left"/>
              <w:rPr/>
            </w:pPr>
            <w:r>
              <w:rPr/>
              <w:t> </w:t>
            </w:r>
          </w:p>
        </w:tc>
      </w:tr>
      <w:tr>
        <w:trPr>
          <w:trHeight w:val="120" w:hRule="atLeast"/>
        </w:trPr>
        <w:tc>
          <w:tcPr>
            <w:tcW w:w="1277"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277"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97"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pPr>
            <w:r>
              <w:rPr/>
              <w:t>No Duty to Monitor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- 10 -</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417"/>
        <w:gridCol w:w="118"/>
        <w:gridCol w:w="7857"/>
        <w:gridCol w:w="150"/>
        <w:gridCol w:w="60"/>
        <w:gridCol w:w="541"/>
        <w:gridCol w:w="62"/>
      </w:tblGrid>
      <w:tr>
        <w:trPr/>
        <w:tc>
          <w:tcPr>
            <w:tcW w:w="1417"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857"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ARTICLE THREE</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20"/>
              </w:rPr>
            </w:pPr>
            <w:r>
              <w:rPr>
                <w:rFonts w:ascii="Times New Roman" w:hAnsi="Times New Roman"/>
                <w:b/>
                <w:sz w:val="20"/>
              </w:rPr>
              <w:t>REDEMPTION</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Notices to Trustee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- 11 -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Selection of Securities to be Redeemed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- 11 -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Redemption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- 11 -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Effect of Notice of Redemption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- 12 -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Deposit of Redemption Price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- 12 -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Securities Redeemed in Part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- 12 -</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vAlign w:val="bottom"/>
          </w:tcPr>
          <w:p>
            <w:pPr>
              <w:pStyle w:val="TableContents"/>
              <w:bidi w:val="0"/>
              <w:spacing w:before="0" w:after="283"/>
              <w:jc w:val="center"/>
              <w:rPr>
                <w:b/>
              </w:rPr>
            </w:pPr>
            <w:r>
              <w:rPr>
                <w:b/>
              </w:rPr>
              <w:t>ARTICLE FOUR</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vAlign w:val="bottom"/>
          </w:tcPr>
          <w:p>
            <w:pPr>
              <w:pStyle w:val="TableContents"/>
              <w:bidi w:val="0"/>
              <w:spacing w:before="0" w:after="283"/>
              <w:jc w:val="center"/>
              <w:rPr>
                <w:b/>
              </w:rPr>
            </w:pPr>
            <w:r>
              <w:rPr>
                <w:b/>
              </w:rPr>
              <w:t>COVENANTS</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Securities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- 12 -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- 13 -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Reports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- 13 -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- 13 -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Waiver of Stay, Extension or Usury Laws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- 13 -</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vAlign w:val="bottom"/>
          </w:tcPr>
          <w:p>
            <w:pPr>
              <w:pStyle w:val="TableContents"/>
              <w:bidi w:val="0"/>
              <w:spacing w:before="0" w:after="283"/>
              <w:jc w:val="center"/>
              <w:rPr>
                <w:b/>
              </w:rPr>
            </w:pPr>
            <w:r>
              <w:rPr>
                <w:b/>
              </w:rPr>
              <w:t>ARTICLE FIVE</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vAlign w:val="bottom"/>
          </w:tcPr>
          <w:p>
            <w:pPr>
              <w:pStyle w:val="TableContents"/>
              <w:bidi w:val="0"/>
              <w:spacing w:before="0" w:after="283"/>
              <w:jc w:val="center"/>
              <w:rPr>
                <w:b/>
              </w:rPr>
            </w:pPr>
            <w:r>
              <w:rPr>
                <w:b/>
              </w:rPr>
              <w:t>SUCCESSOR CORPORATION</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When Company May Merge, etc.</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- 13 -</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vAlign w:val="bottom"/>
          </w:tcPr>
          <w:p>
            <w:pPr>
              <w:pStyle w:val="TableContents"/>
              <w:bidi w:val="0"/>
              <w:spacing w:before="0" w:after="283"/>
              <w:jc w:val="center"/>
              <w:rPr>
                <w:b/>
              </w:rPr>
            </w:pPr>
            <w:r>
              <w:rPr>
                <w:b/>
              </w:rPr>
              <w:t>ARTICLE SIX</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vAlign w:val="bottom"/>
          </w:tcPr>
          <w:p>
            <w:pPr>
              <w:pStyle w:val="TableContents"/>
              <w:bidi w:val="0"/>
              <w:spacing w:before="0" w:after="283"/>
              <w:jc w:val="center"/>
              <w:rPr>
                <w:b/>
              </w:rPr>
            </w:pPr>
            <w:r>
              <w:rPr>
                <w:b/>
              </w:rPr>
              <w:t>DEFAULTS AND REMEDIES</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- 14 -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- 15 -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Other Remedies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- 15 -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Waiver of Existing Defaults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- 15 -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Control by Majority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- 15 -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- 15 -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Rights of Holders to Receive Payment and Convert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- 16 -</w:t>
            </w:r>
          </w:p>
        </w:tc>
        <w:tc>
          <w:tcPr>
            <w:tcW w:w="62" w:type="dxa"/>
            <w:tcBorders/>
            <w:vAlign w:val="bottom"/>
          </w:tcPr>
          <w:p>
            <w:pPr>
              <w:pStyle w:val="TableContents"/>
              <w:bidi w:val="0"/>
              <w:spacing w:before="0" w:after="283"/>
              <w:jc w:val="left"/>
              <w:rPr/>
            </w:pPr>
            <w:r>
              <w:rPr/>
              <w:t> </w:t>
            </w:r>
          </w:p>
        </w:tc>
      </w:tr>
      <w:tr>
        <w:trPr>
          <w:trHeight w:val="120" w:hRule="atLeast"/>
        </w:trPr>
        <w:tc>
          <w:tcPr>
            <w:tcW w:w="1417"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18" w:type="dxa"/>
            <w:tcBorders/>
            <w:vAlign w:val="bottom"/>
          </w:tcPr>
          <w:p>
            <w:pPr>
              <w:pStyle w:val="TableContents"/>
              <w:bidi w:val="0"/>
              <w:spacing w:before="0" w:after="283"/>
              <w:jc w:val="left"/>
              <w:rPr/>
            </w:pPr>
            <w:r>
              <w:rPr/>
              <w:t> </w:t>
            </w:r>
          </w:p>
        </w:tc>
        <w:tc>
          <w:tcPr>
            <w:tcW w:w="7857" w:type="dxa"/>
            <w:tcBorders/>
          </w:tcPr>
          <w:p>
            <w:pPr>
              <w:pStyle w:val="TableContents"/>
              <w:bidi w:val="0"/>
              <w:spacing w:before="0" w:after="0"/>
              <w:jc w:val="left"/>
              <w:rPr>
                <w:rFonts w:ascii="Times New Roman" w:hAnsi="Times New Roman"/>
                <w:sz w:val="20"/>
              </w:rPr>
            </w:pPr>
            <w:r>
              <w:rPr>
                <w:rFonts w:ascii="Times New Roman" w:hAnsi="Times New Roman"/>
                <w:sz w:val="20"/>
              </w:rPr>
              <w:t>Collection Suit by Trustee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- 16 -</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03"/>
        <w:gridCol w:w="86"/>
        <w:gridCol w:w="8129"/>
        <w:gridCol w:w="132"/>
        <w:gridCol w:w="60"/>
        <w:gridCol w:w="531"/>
        <w:gridCol w:w="64"/>
      </w:tblGrid>
      <w:tr>
        <w:trPr/>
        <w:tc>
          <w:tcPr>
            <w:tcW w:w="1203"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812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86" w:type="dxa"/>
            <w:tcBorders/>
            <w:vAlign w:val="bottom"/>
          </w:tcPr>
          <w:p>
            <w:pPr>
              <w:pStyle w:val="TableContents"/>
              <w:bidi w:val="0"/>
              <w:spacing w:before="0" w:after="283"/>
              <w:jc w:val="left"/>
              <w:rPr/>
            </w:pPr>
            <w:r>
              <w:rPr/>
              <w:t> </w:t>
            </w:r>
          </w:p>
        </w:tc>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Trustee May File Proofs of Claim</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- 16 -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6" w:type="dxa"/>
            <w:tcBorders/>
            <w:vAlign w:val="bottom"/>
          </w:tcPr>
          <w:p>
            <w:pPr>
              <w:pStyle w:val="TableContents"/>
              <w:bidi w:val="0"/>
              <w:spacing w:before="0" w:after="283"/>
              <w:jc w:val="left"/>
              <w:rPr/>
            </w:pPr>
            <w:r>
              <w:rPr/>
              <w:t> </w:t>
            </w:r>
          </w:p>
        </w:tc>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Priorities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- 16 -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6" w:type="dxa"/>
            <w:tcBorders/>
            <w:vAlign w:val="bottom"/>
          </w:tcPr>
          <w:p>
            <w:pPr>
              <w:pStyle w:val="TableContents"/>
              <w:bidi w:val="0"/>
              <w:spacing w:before="0" w:after="283"/>
              <w:jc w:val="left"/>
              <w:rPr/>
            </w:pPr>
            <w:r>
              <w:rPr/>
              <w:t> </w:t>
            </w:r>
          </w:p>
        </w:tc>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for Costs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- 17 -</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b/>
              </w:rPr>
            </w:pPr>
            <w:r>
              <w:rPr>
                <w:b/>
              </w:rPr>
              <w:t>ARTICLE SEVEN</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b/>
              </w:rPr>
            </w:pPr>
            <w:r>
              <w:rPr>
                <w:b/>
              </w:rPr>
              <w:t>TRUSTEE</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Duties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- 17 -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Rights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- 18 -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Individual Rights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- 19 -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Trustee’s Disclaimer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- 19 -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Notice of Defaults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- 19 -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Reports by Trustee to 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- 19 -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Compensation and Indemnity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- 20 -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Replacement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- 20 -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Successor Trustee by Merger, etc.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- 20 -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Eligibility; Disqualification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- 21 -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Preferential Collection of Claims Against Company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- 21 -</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b/>
              </w:rPr>
            </w:pPr>
            <w:r>
              <w:rPr>
                <w:b/>
              </w:rPr>
              <w:t>ARTICLE EIGHT</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b/>
              </w:rPr>
            </w:pPr>
            <w:r>
              <w:rPr>
                <w:b/>
              </w:rPr>
              <w:t>DISCHARGE OF INDENTURE</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Defeasance upon Deposit of Moneys or Government Obligations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- 21 -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Survival of the Company’s Obligations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- 23 -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Application of Trust Money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- 23 -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Repayment to the Company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- 23 -</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86" w:type="dxa"/>
            <w:tcBorders/>
            <w:vAlign w:val="bottom"/>
          </w:tcPr>
          <w:p>
            <w:pPr>
              <w:pStyle w:val="TableContents"/>
              <w:bidi w:val="0"/>
              <w:spacing w:before="0" w:after="283"/>
              <w:jc w:val="left"/>
              <w:rPr/>
            </w:pPr>
            <w:r>
              <w:rPr/>
              <w:t> </w:t>
            </w:r>
          </w:p>
        </w:tc>
        <w:tc>
          <w:tcPr>
            <w:tcW w:w="8129" w:type="dxa"/>
            <w:tcBorders/>
            <w:vAlign w:val="bottom"/>
          </w:tcPr>
          <w:p>
            <w:pPr>
              <w:pStyle w:val="TableContents"/>
              <w:bidi w:val="0"/>
              <w:spacing w:before="0" w:after="283"/>
              <w:jc w:val="left"/>
              <w:rPr/>
            </w:pPr>
            <w:r>
              <w:rPr/>
              <w:t>Reinstatement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- 23 -</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342"/>
        <w:gridCol w:w="96"/>
        <w:gridCol w:w="7974"/>
        <w:gridCol w:w="137"/>
        <w:gridCol w:w="60"/>
        <w:gridCol w:w="531"/>
        <w:gridCol w:w="65"/>
      </w:tblGrid>
      <w:tr>
        <w:trPr/>
        <w:tc>
          <w:tcPr>
            <w:tcW w:w="134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974"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vAlign w:val="bottom"/>
          </w:tcPr>
          <w:p>
            <w:pPr>
              <w:pStyle w:val="TableContents"/>
              <w:bidi w:val="0"/>
              <w:spacing w:before="0" w:after="283"/>
              <w:jc w:val="center"/>
              <w:rPr>
                <w:b/>
              </w:rPr>
            </w:pPr>
            <w:r>
              <w:rPr>
                <w:b/>
              </w:rPr>
              <w:t>ARTICLE NINE</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vAlign w:val="bottom"/>
          </w:tcPr>
          <w:p>
            <w:pPr>
              <w:pStyle w:val="TableContents"/>
              <w:bidi w:val="0"/>
              <w:spacing w:before="0" w:after="283"/>
              <w:jc w:val="center"/>
              <w:rPr>
                <w:b/>
              </w:rPr>
            </w:pPr>
            <w:r>
              <w:rPr>
                <w:b/>
              </w:rPr>
              <w:t>RESERVED</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vAlign w:val="bottom"/>
          </w:tcPr>
          <w:p>
            <w:pPr>
              <w:pStyle w:val="TableContents"/>
              <w:bidi w:val="0"/>
              <w:spacing w:before="0" w:after="283"/>
              <w:jc w:val="center"/>
              <w:rPr>
                <w:b/>
              </w:rPr>
            </w:pPr>
            <w:r>
              <w:rPr>
                <w:b/>
              </w:rPr>
              <w:t>ARTICLE TEN</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vAlign w:val="bottom"/>
          </w:tcPr>
          <w:p>
            <w:pPr>
              <w:pStyle w:val="TableContents"/>
              <w:bidi w:val="0"/>
              <w:spacing w:before="0" w:after="283"/>
              <w:jc w:val="center"/>
              <w:rPr>
                <w:b/>
              </w:rPr>
            </w:pPr>
            <w:r>
              <w:rPr>
                <w:b/>
              </w:rPr>
              <w:t>AMENDMENTS, SUPPLEMENTS AND WAIVERS</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Without Consent of 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- 24 -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With Consent of 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- 24 -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Compliance with Trust Indenture Act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- 25 -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Revocation and Effect of Consents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- 25 -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Notation on or Exchange of Securities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- 26 -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Trustee to Sign Amendments, etc.</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- 26 -</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vAlign w:val="bottom"/>
          </w:tcPr>
          <w:p>
            <w:pPr>
              <w:pStyle w:val="TableContents"/>
              <w:bidi w:val="0"/>
              <w:spacing w:before="0" w:after="283"/>
              <w:jc w:val="center"/>
              <w:rPr>
                <w:b/>
              </w:rPr>
            </w:pPr>
            <w:r>
              <w:rPr>
                <w:b/>
              </w:rPr>
              <w:t>ARTICLE ELEVEN</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vAlign w:val="bottom"/>
          </w:tcPr>
          <w:p>
            <w:pPr>
              <w:pStyle w:val="TableContents"/>
              <w:bidi w:val="0"/>
              <w:spacing w:before="0" w:after="283"/>
              <w:jc w:val="center"/>
              <w:rPr>
                <w:b/>
              </w:rPr>
            </w:pPr>
            <w:r>
              <w:rPr>
                <w:b/>
              </w:rPr>
              <w:t>SECURITIES IN FOREIGN CURRENCIES</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Applicability of Article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- 26 -</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vAlign w:val="bottom"/>
          </w:tcPr>
          <w:p>
            <w:pPr>
              <w:pStyle w:val="TableContents"/>
              <w:bidi w:val="0"/>
              <w:spacing w:before="0" w:after="283"/>
              <w:jc w:val="center"/>
              <w:rPr>
                <w:b/>
              </w:rPr>
            </w:pPr>
            <w:r>
              <w:rPr>
                <w:b/>
              </w:rPr>
              <w:t>ARTICLE TWELVE</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vAlign w:val="bottom"/>
          </w:tcPr>
          <w:p>
            <w:pPr>
              <w:pStyle w:val="TableContents"/>
              <w:bidi w:val="0"/>
              <w:spacing w:before="0" w:after="283"/>
              <w:jc w:val="center"/>
              <w:rPr>
                <w:b/>
              </w:rPr>
            </w:pPr>
            <w:r>
              <w:rPr>
                <w:b/>
              </w:rPr>
              <w:t>MISCELLANEOUS</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Trust Indenture Act Controls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- 27 -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Notices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- 27 -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Communications by Holders with Other 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- 27 -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Certificate and Opinion as to Conditions Precedent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- 28 -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Statements Required in Certificate or Opinion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- 28 -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Rules by Trustee and Agents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- 28 -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Legal Holidays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- 28 -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12.08</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Governing Law</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- 28 -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12.09</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No Adverse Interpretation of Other Agreements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- 28 -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No Recourse Against Others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- 28 -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Successors and Assigns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- 29 -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Duplicate Originals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- 29 -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Severability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- 29 -</w:t>
            </w:r>
          </w:p>
        </w:tc>
        <w:tc>
          <w:tcPr>
            <w:tcW w:w="65" w:type="dxa"/>
            <w:tcBorders/>
            <w:vAlign w:val="bottom"/>
          </w:tcPr>
          <w:p>
            <w:pPr>
              <w:pStyle w:val="TableContents"/>
              <w:bidi w:val="0"/>
              <w:spacing w:before="0" w:after="283"/>
              <w:jc w:val="left"/>
              <w:rPr/>
            </w:pPr>
            <w:r>
              <w:rPr/>
              <w:t> </w:t>
            </w:r>
          </w:p>
        </w:tc>
      </w:tr>
      <w:tr>
        <w:trPr>
          <w:trHeight w:val="120" w:hRule="atLeast"/>
        </w:trPr>
        <w:tc>
          <w:tcPr>
            <w:tcW w:w="1342"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3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12.14</w:t>
            </w:r>
          </w:p>
        </w:tc>
        <w:tc>
          <w:tcPr>
            <w:tcW w:w="96" w:type="dxa"/>
            <w:tcBorders/>
            <w:vAlign w:val="bottom"/>
          </w:tcPr>
          <w:p>
            <w:pPr>
              <w:pStyle w:val="TableContents"/>
              <w:bidi w:val="0"/>
              <w:spacing w:before="0" w:after="283"/>
              <w:jc w:val="left"/>
              <w:rPr/>
            </w:pPr>
            <w:r>
              <w:rPr/>
              <w:t> </w:t>
            </w:r>
          </w:p>
        </w:tc>
        <w:tc>
          <w:tcPr>
            <w:tcW w:w="7974" w:type="dxa"/>
            <w:tcBorders/>
            <w:vAlign w:val="bottom"/>
          </w:tcPr>
          <w:p>
            <w:pPr>
              <w:pStyle w:val="TableContents"/>
              <w:bidi w:val="0"/>
              <w:spacing w:before="0" w:after="283"/>
              <w:jc w:val="left"/>
              <w:rPr/>
            </w:pPr>
            <w:r>
              <w:rPr/>
              <w:t>Waiver of Jury Trial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- 29 -</w:t>
            </w:r>
          </w:p>
        </w:tc>
        <w:tc>
          <w:tcPr>
            <w:tcW w:w="6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8"/>
        <w:gridCol w:w="413"/>
        <w:gridCol w:w="8305"/>
        <w:gridCol w:w="187"/>
        <w:gridCol w:w="23"/>
        <w:gridCol w:w="23"/>
        <w:gridCol w:w="26"/>
      </w:tblGrid>
      <w:tr>
        <w:trPr/>
        <w:tc>
          <w:tcPr>
            <w:tcW w:w="1228"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830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99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SIGNATURES</w:t>
            </w:r>
          </w:p>
        </w:tc>
        <w:tc>
          <w:tcPr>
            <w:tcW w:w="187"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946" w:type="dxa"/>
            <w:gridSpan w:val="3"/>
            <w:tcBorders/>
            <w:vAlign w:val="center"/>
          </w:tcPr>
          <w:p>
            <w:pPr>
              <w:pStyle w:val="TableContents"/>
              <w:bidi w:val="0"/>
              <w:spacing w:before="0" w:after="283"/>
              <w:jc w:val="left"/>
              <w:rPr>
                <w:sz w:val="4"/>
                <w:szCs w:val="4"/>
              </w:rPr>
            </w:pPr>
            <w:r>
              <w:rPr>
                <w:sz w:val="4"/>
                <w:szCs w:val="4"/>
              </w:rPr>
            </w:r>
          </w:p>
        </w:tc>
        <w:tc>
          <w:tcPr>
            <w:tcW w:w="259" w:type="dxa"/>
            <w:gridSpan w:val="4"/>
            <w:tcBorders/>
            <w:vAlign w:val="center"/>
          </w:tcPr>
          <w:p>
            <w:pPr>
              <w:pStyle w:val="TableContents"/>
              <w:bidi w:val="0"/>
              <w:spacing w:before="0" w:after="283"/>
              <w:jc w:val="left"/>
              <w:rPr>
                <w:sz w:val="4"/>
                <w:szCs w:val="4"/>
              </w:rPr>
            </w:pPr>
            <w:r>
              <w:rPr>
                <w:sz w:val="4"/>
                <w:szCs w:val="4"/>
              </w:rPr>
            </w:r>
          </w:p>
        </w:tc>
      </w:tr>
      <w:tr>
        <w:trPr/>
        <w:tc>
          <w:tcPr>
            <w:tcW w:w="99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 – Form of Security</w:t>
            </w:r>
          </w:p>
        </w:tc>
        <w:tc>
          <w:tcPr>
            <w:tcW w:w="187"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6"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INDENTURE dated as of  , 202 (the “Base Indenture”), by and among </w:t>
      </w:r>
      <w:r>
        <w:rPr>
          <w:rFonts w:ascii="Times New Roman" w:hAnsi="Times New Roman"/>
          <w:b/>
          <w:sz w:val="20"/>
        </w:rPr>
        <w:t>DIANTHUS THERAPEUTICS,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and </w:t>
      </w:r>
      <w:r>
        <w:rPr>
          <w:rFonts w:ascii="Times New Roman" w:hAnsi="Times New Roman"/>
          <w:b/>
          <w:sz w:val="20"/>
        </w:rPr>
        <w:t>[    ]</w:t>
      </w:r>
      <w:r>
        <w:rPr>
          <w:rFonts w:ascii="Times New Roman" w:hAnsi="Times New Roman"/>
          <w:sz w:val="20"/>
        </w:rPr>
        <w:t>, as trustee (the “</w:t>
      </w:r>
      <w:r>
        <w:rPr>
          <w:rFonts w:ascii="Times New Roman" w:hAnsi="Times New Roman"/>
          <w:b/>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Company’s debt securities issued under this Base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w:t>
      </w:r>
      <w:r>
        <w:rPr>
          <w:rFonts w:ascii="Times New Roman" w:hAnsi="Times New Roman"/>
          <w:b/>
          <w:sz w:val="20"/>
          <w:u w:val="single"/>
        </w:rPr>
        <w:t>Definitions.</w:t>
      </w:r>
      <w:r>
        <w:rPr>
          <w:rFonts w:ascii="Times New Roman" w:hAnsi="Times New Roman"/>
          <w:b/>
          <w:sz w:val="20"/>
        </w:rPr>
        <w:t xml:space="preserve">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means, when used with reference to a specified person, any Person directly or indirectly controlling or controlled by or under direct or indirect common control with the Person specified. </w:t>
      </w:r>
    </w:p>
    <w:p>
      <w:pPr>
        <w:pStyle w:val="TextBody"/>
        <w:bidi w:val="0"/>
        <w:spacing w:before="240" w:after="0"/>
        <w:jc w:val="left"/>
        <w:rPr/>
      </w:pPr>
      <w:r>
        <w:rPr/>
        <w:t>“</w:t>
      </w:r>
      <w:r>
        <w:rPr>
          <w:rFonts w:ascii="Times New Roman" w:hAnsi="Times New Roman"/>
          <w:b/>
          <w:sz w:val="20"/>
        </w:rPr>
        <w:t>Agent</w:t>
      </w:r>
      <w:r>
        <w:rPr>
          <w:rFonts w:ascii="Times New Roman" w:hAnsi="Times New Roman"/>
          <w:sz w:val="20"/>
        </w:rPr>
        <w:t xml:space="preserve">” means any Registrar, Paying Agent or co-Registrar or agent for service of notices and demands. </w:t>
      </w:r>
    </w:p>
    <w:p>
      <w:pPr>
        <w:pStyle w:val="TextBody"/>
        <w:bidi w:val="0"/>
        <w:spacing w:before="240" w:after="0"/>
        <w:jc w:val="left"/>
        <w:rPr/>
      </w:pPr>
      <w:r>
        <w:rPr/>
        <w:t>“</w:t>
      </w:r>
      <w:r>
        <w:rPr>
          <w:rFonts w:ascii="Times New Roman" w:hAnsi="Times New Roman"/>
          <w:b/>
          <w:sz w:val="20"/>
        </w:rPr>
        <w:t>Authorizing Resolution</w:t>
      </w:r>
      <w:r>
        <w:rPr>
          <w:rFonts w:ascii="Times New Roman" w:hAnsi="Times New Roman"/>
          <w:sz w:val="20"/>
        </w:rPr>
        <w:t xml:space="preserve">” means a resolution adopted by the Board of Directors or by an Officer or committee of Officers pursuant to Board delegation authorizing a Series of Securities.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Title 11 of the United States Code, as amended, or any similar federal or state law for the relief of debtors.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with respect to any Person, any and all shares, interests, participations or other equivalents (however designated) of or in such Person’s capital stock or other equity interests.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party named as such in this Indenture until a successor replaces it pursuant to the Indenture and thereafter means the successor.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means, when used with respect to any Person, the power to direct the management and policies of such Person, directly or indirectly, whether through the ownership of voting securities, by contract or otherwise; and the terms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to the foregoing.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act or condition that is, or after notice or the passage of time or both would be, an Event of Default. </w:t>
      </w:r>
    </w:p>
    <w:p>
      <w:pPr>
        <w:pStyle w:val="TextBody"/>
        <w:bidi w:val="0"/>
        <w:spacing w:before="240" w:after="0"/>
        <w:jc w:val="left"/>
        <w:rPr/>
      </w:pPr>
      <w:r>
        <w:rPr/>
        <w:t>“</w:t>
      </w:r>
      <w:r>
        <w:rPr>
          <w:rFonts w:ascii="Times New Roman" w:hAnsi="Times New Roman"/>
          <w:b/>
          <w:sz w:val="20"/>
        </w:rPr>
        <w:t>Definitive Security</w:t>
      </w:r>
      <w:r>
        <w:rPr>
          <w:rFonts w:ascii="Times New Roman" w:hAnsi="Times New Roman"/>
          <w:sz w:val="20"/>
        </w:rPr>
        <w:t xml:space="preserve">” means a certificated Security registered in the name of the Securityholder thereof.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with respect to Securities of any Series which the Company shall determine will be issued in whole or in part as a Global Security, DTC, another clearing agency, or any successor registered as a clearing agency under the Exchange Act, and any other applicable U.S. or foreign statute or regulation, which, in each case, shall be designated by the Company pursuant to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and “</w:t>
      </w:r>
      <w:r>
        <w:rPr>
          <w:rFonts w:ascii="Times New Roman" w:hAnsi="Times New Roman"/>
          <w:b/>
          <w:sz w:val="20"/>
        </w:rPr>
        <w:t>$</w:t>
      </w:r>
      <w:r>
        <w:rPr>
          <w:rFonts w:ascii="Times New Roman" w:hAnsi="Times New Roman"/>
          <w:sz w:val="20"/>
        </w:rPr>
        <w:t xml:space="preserve">” mean United States Dollars.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New York, New York.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Foreign Currency</w:t>
      </w:r>
      <w:r>
        <w:rPr>
          <w:rFonts w:ascii="Times New Roman" w:hAnsi="Times New Roman"/>
          <w:sz w:val="20"/>
        </w:rPr>
        <w:t xml:space="preserve">” means any currency, currency unit or composite currency, including, without limitation, the Euro, issued by the government of one or more countries other than the United States of America or by any recognized confederation or association of such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set forth in the accounting standards codification of the Financial Accounting Standards Board or in such other statements by such or any other entity as may be approved by a significant segment of the accounting profession of the United States, as in effect on the date of this Base Indenture. </w:t>
      </w:r>
    </w:p>
    <w:p>
      <w:pPr>
        <w:pStyle w:val="TextBody"/>
        <w:bidi w:val="0"/>
        <w:spacing w:before="240" w:after="0"/>
        <w:jc w:val="left"/>
        <w:rPr/>
      </w:pPr>
      <w:r>
        <w:rPr/>
        <w:t>“</w:t>
      </w:r>
      <w:r>
        <w:rPr>
          <w:rFonts w:ascii="Times New Roman" w:hAnsi="Times New Roman"/>
          <w:b/>
          <w:sz w:val="20"/>
        </w:rPr>
        <w:t>Global Security</w:t>
      </w:r>
      <w:r>
        <w:rPr>
          <w:rFonts w:ascii="Times New Roman" w:hAnsi="Times New Roman"/>
          <w:sz w:val="20"/>
        </w:rPr>
        <w:t xml:space="preserve">”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b/>
          <w:sz w:val="20"/>
        </w:rPr>
        <w:t>Government Obligations</w:t>
      </w:r>
      <w:r>
        <w:rPr>
          <w:rFonts w:ascii="Times New Roman" w:hAnsi="Times New Roman"/>
          <w:sz w:val="20"/>
        </w:rPr>
        <w:t xml:space="preserve">” means securities which are (i) direct obligations of the United States or the other government or governments in the confederation which issued the Foreign Currency in which the principal of or any interest on the Security of the applicable Series shall be payable, in each case for the payment of which its full faith and credit is pledged or (ii) obligations of a Person controlled or supervised by and acting as an agency or instrumentality of the United States or such other government or governments, in each case the payment of which is unconditionally guaranteed as a full faith and credit obligation by the United States or such other government or governments, which, in either case are not callable or redeemable at the option of the issuer or issuers thereof, and shall also include a depositary receipt issued by a bank or trust company as custodian with respect to any such Government Obligations or a specific payment of interest on or principal of any such Government Obligation held by such custodian for the account of the holder of a depositary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Government Obligation or the specific payment of interest on or principal of the Government Obligation evidenced by such depositary receipt.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or “</w:t>
      </w:r>
      <w:r>
        <w:rPr>
          <w:rFonts w:ascii="Times New Roman" w:hAnsi="Times New Roman"/>
          <w:b/>
          <w:sz w:val="20"/>
        </w:rPr>
        <w:t>Securityholder</w:t>
      </w:r>
      <w:r>
        <w:rPr>
          <w:rFonts w:ascii="Times New Roman" w:hAnsi="Times New Roman"/>
          <w:sz w:val="20"/>
        </w:rPr>
        <w:t xml:space="preserve">” means the Person in whose name a Security is registered on the Registrar’s books.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Base Indenture as amended or supplemented from time to time, including pursuant to any Authorizing Resolution or supplemental indenture pertaining to any Series, and including, for all purposes of this instrument and any such Authorizing Resolution or supplemental indenture, the provisions of the TIA that are deemed to be a part of and govern this Base Indenture and any such Authorizing Resolution or supplemental indenture, respectively.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with respect to any Series of Securities, the date on which the Securities of such Series are originally issued under this Indenture. </w:t>
      </w:r>
    </w:p>
    <w:p>
      <w:pPr>
        <w:pStyle w:val="TextBody"/>
        <w:bidi w:val="0"/>
        <w:spacing w:before="240" w:after="0"/>
        <w:jc w:val="left"/>
        <w:rPr/>
      </w:pPr>
      <w:r>
        <w:rPr/>
        <w:t>“</w:t>
      </w:r>
      <w:r>
        <w:rPr>
          <w:rFonts w:ascii="Times New Roman" w:hAnsi="Times New Roman"/>
          <w:b/>
          <w:sz w:val="20"/>
        </w:rPr>
        <w:t>NYUCC</w:t>
      </w:r>
      <w:r>
        <w:rPr>
          <w:rFonts w:ascii="Times New Roman" w:hAnsi="Times New Roman"/>
          <w:sz w:val="20"/>
        </w:rPr>
        <w:t xml:space="preserve">” means the New York Uniform Commercial Code, as in effect from time to time.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the Chairman of the Board, the President, any Vice President, the Treasurer, the Controller or the Secretary of the Company.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two Officers or by an Officer and an Assistant Treasurer or an Assistant Secretary of the Company.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 written opinion, in form and substance reasonably satisfactory to the Trustee, from legal counsel. The counsel may be an employee of or counsel to the Company. Each such opinion shall include the statements provided for in Section 12.05 if and to the extent required by the provisions of such Section.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partnership, limited liability company, joint venture, incorporated or unincorporated association, joint 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b/>
          <w:sz w:val="20"/>
        </w:rPr>
        <w:t>principal</w:t>
      </w:r>
      <w:r>
        <w:rPr>
          <w:rFonts w:ascii="Times New Roman" w:hAnsi="Times New Roman"/>
          <w:sz w:val="20"/>
        </w:rPr>
        <w:t xml:space="preserve">” of a debt security means the principal of the security </w:t>
      </w:r>
      <w:r>
        <w:rPr>
          <w:rFonts w:ascii="Times New Roman" w:hAnsi="Times New Roman"/>
          <w:i/>
          <w:sz w:val="20"/>
        </w:rPr>
        <w:t>plus</w:t>
      </w:r>
      <w:r>
        <w:rPr>
          <w:rFonts w:ascii="Times New Roman" w:hAnsi="Times New Roman"/>
          <w:sz w:val="20"/>
        </w:rPr>
        <w:t xml:space="preserve">, when appropriate, the premium, if any, on the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Property</w:t>
      </w:r>
      <w:r>
        <w:rPr>
          <w:rFonts w:ascii="Times New Roman" w:hAnsi="Times New Roman"/>
          <w:sz w:val="20"/>
        </w:rPr>
        <w:t xml:space="preserve">” of any Person means all types of real, personal, tangible, intangible or mixed property owned by such Person, whether or not included in the most recent consolidated balance sheet of such Person and its Subsidiaries under GAAP.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or any successor agency performing the duties now assigned to it under the TIA.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any Securities that are issued under this Base Indenture.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Series</w:t>
      </w:r>
      <w:r>
        <w:rPr>
          <w:rFonts w:ascii="Times New Roman" w:hAnsi="Times New Roman"/>
          <w:sz w:val="20"/>
        </w:rPr>
        <w:t xml:space="preserve">” means a series of Securities established under this Base Indenture.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any Subsidiary of the Company which would constitute a “significant subsidiary” as defined in Rule 1-02 of Regulation S-X under the Securities Act and the Exchange Act.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of any Person means any corporation or other entity of which a majority of the Capital Stock having ordinary voting power to elect a majority of the board of directors of such entity or other persons performing similar functions is at the time directly or indirectly owned or controlled by such Person. </w:t>
      </w:r>
    </w:p>
    <w:p>
      <w:pPr>
        <w:pStyle w:val="TextBody"/>
        <w:bidi w:val="0"/>
        <w:spacing w:before="240" w:after="0"/>
        <w:jc w:val="left"/>
        <w:rPr/>
      </w:pPr>
      <w:r>
        <w:rPr/>
        <w:t>“</w:t>
      </w:r>
      <w:r>
        <w:rPr>
          <w:rFonts w:ascii="Times New Roman" w:hAnsi="Times New Roman"/>
          <w:b/>
          <w:sz w:val="20"/>
        </w:rPr>
        <w:t>TIA</w:t>
      </w:r>
      <w:r>
        <w:rPr>
          <w:rFonts w:ascii="Times New Roman" w:hAnsi="Times New Roman"/>
          <w:sz w:val="20"/>
        </w:rPr>
        <w:t xml:space="preserve">” means the Trust Indenture Act of 1939, as in effect from time to time, except as otherwise provided herein.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the party named as such in this Base Indenture until a successor replaces it pursuant to this Base Indenture and thereafter means the successor serving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at any time there is more than one such Person, “Trustee” as used with respect to the Securities of any Series shall mean only the Trustee with respect to Securities of that Series. </w:t>
      </w:r>
    </w:p>
    <w:p>
      <w:pPr>
        <w:pStyle w:val="TextBody"/>
        <w:bidi w:val="0"/>
        <w:spacing w:before="240" w:after="0"/>
        <w:jc w:val="left"/>
        <w:rPr/>
      </w:pPr>
      <w:r>
        <w:rPr/>
        <w:t>“</w:t>
      </w:r>
      <w:r>
        <w:rPr>
          <w:rFonts w:ascii="Times New Roman" w:hAnsi="Times New Roman"/>
          <w:b/>
          <w:sz w:val="20"/>
        </w:rPr>
        <w:t>Trust Officer</w:t>
      </w:r>
      <w:r>
        <w:rPr>
          <w:rFonts w:ascii="Times New Roman" w:hAnsi="Times New Roman"/>
          <w:sz w:val="20"/>
        </w:rPr>
        <w:t xml:space="preserve">”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or to whom any corporate trust matter is referred because of such person’s knowledge of and familiarity with the particular subject and who shall have direct responsibility for the administration of this Indenture.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xml:space="preserve">” means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1.02 </w:t>
      </w:r>
      <w:r>
        <w:rPr>
          <w:rFonts w:ascii="Times New Roman" w:hAnsi="Times New Roman"/>
          <w:b/>
          <w:sz w:val="20"/>
          <w:u w:val="single"/>
        </w:rPr>
        <w:t>Other Definitions.</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99"/>
        <w:gridCol w:w="143"/>
        <w:gridCol w:w="60"/>
        <w:gridCol w:w="941"/>
        <w:gridCol w:w="62"/>
      </w:tblGrid>
      <w:tr>
        <w:trPr/>
        <w:tc>
          <w:tcPr>
            <w:tcW w:w="899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999" w:type="dxa"/>
            <w:tcBorders/>
            <w:vAlign w:val="bottom"/>
          </w:tcPr>
          <w:p>
            <w:pPr>
              <w:pStyle w:val="TableContents"/>
              <w:bidi w:val="0"/>
              <w:spacing w:before="0" w:after="283"/>
              <w:jc w:val="left"/>
              <w:rPr>
                <w:b/>
              </w:rPr>
            </w:pPr>
            <w:r>
              <w:rPr>
                <w:b/>
              </w:rPr>
              <w:t>Term</w:t>
            </w:r>
          </w:p>
        </w:tc>
        <w:tc>
          <w:tcPr>
            <w:tcW w:w="143"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 in</w:t>
              <w:br/>
              <w:t>Section</w:t>
            </w:r>
          </w:p>
        </w:tc>
        <w:tc>
          <w:tcPr>
            <w:tcW w:w="62" w:type="dxa"/>
            <w:tcBorders/>
            <w:vAlign w:val="bottom"/>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Agent Members</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2.15</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Base Indenture</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Preamble</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Business Day</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12.07</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Covenant Defeasance</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8.01</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Custodian</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6.01</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Event of Default</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6.01</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Legal Defeasance</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8.01</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Legal Holiday</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12.07</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Paying Agent</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2.03</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Payment Default</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6.01</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Registrar</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2.03</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Security Register</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2.03</w:t>
            </w:r>
          </w:p>
        </w:tc>
        <w:tc>
          <w:tcPr>
            <w:tcW w:w="62" w:type="dxa"/>
            <w:tcBorders/>
          </w:tcPr>
          <w:p>
            <w:pPr>
              <w:pStyle w:val="TableContents"/>
              <w:bidi w:val="0"/>
              <w:spacing w:before="0" w:after="283"/>
              <w:jc w:val="left"/>
              <w:rPr/>
            </w:pPr>
            <w:r>
              <w:rPr/>
              <w:t> </w:t>
            </w:r>
          </w:p>
        </w:tc>
      </w:tr>
      <w:tr>
        <w:trPr/>
        <w:tc>
          <w:tcPr>
            <w:tcW w:w="8999" w:type="dxa"/>
            <w:tcBorders/>
          </w:tcPr>
          <w:p>
            <w:pPr>
              <w:pStyle w:val="TableContents"/>
              <w:bidi w:val="0"/>
              <w:spacing w:before="0" w:after="283"/>
              <w:jc w:val="left"/>
              <w:rPr/>
            </w:pPr>
            <w:r>
              <w:rPr/>
              <w:t>Successor</w:t>
            </w:r>
          </w:p>
        </w:tc>
        <w:tc>
          <w:tcPr>
            <w:tcW w:w="14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41" w:type="dxa"/>
            <w:tcBorders/>
          </w:tcPr>
          <w:p>
            <w:pPr>
              <w:pStyle w:val="TableContents"/>
              <w:bidi w:val="0"/>
              <w:spacing w:before="0" w:after="283"/>
              <w:jc w:val="right"/>
              <w:rPr/>
            </w:pPr>
            <w:r>
              <w:rPr/>
              <w:t>5.01</w:t>
            </w:r>
          </w:p>
        </w:tc>
        <w:tc>
          <w:tcPr>
            <w:tcW w:w="62" w:type="dxa"/>
            <w:tcBorders/>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1.03 </w:t>
      </w:r>
      <w:r>
        <w:rPr>
          <w:rFonts w:ascii="Times New Roman" w:hAnsi="Times New Roman"/>
          <w:b/>
          <w:sz w:val="20"/>
          <w:u w:val="single"/>
        </w:rPr>
        <w:t>Incorporation by Reference of Trust Indenture Act.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240" w:after="0"/>
        <w:jc w:val="left"/>
        <w:rPr/>
      </w:pPr>
      <w:r>
        <w:rPr/>
        <w:t>“</w:t>
      </w:r>
      <w:r>
        <w:rPr>
          <w:rFonts w:ascii="Times New Roman" w:hAnsi="Times New Roman"/>
          <w:sz w:val="20"/>
        </w:rPr>
        <w:t xml:space="preserve">Commission” means the SEC. </w:t>
      </w:r>
    </w:p>
    <w:p>
      <w:pPr>
        <w:pStyle w:val="TextBody"/>
        <w:bidi w:val="0"/>
        <w:spacing w:before="240" w:after="0"/>
        <w:jc w:val="left"/>
        <w:rPr/>
      </w:pPr>
      <w:r>
        <w:rPr/>
        <w:t>“</w:t>
      </w:r>
      <w:r>
        <w:rPr>
          <w:rFonts w:ascii="Times New Roman" w:hAnsi="Times New Roman"/>
          <w:sz w:val="20"/>
        </w:rPr>
        <w:t xml:space="preserve">indenture securities” means the Securities of a particular Series. </w:t>
      </w:r>
    </w:p>
    <w:p>
      <w:pPr>
        <w:pStyle w:val="TextBody"/>
        <w:bidi w:val="0"/>
        <w:spacing w:before="240" w:after="0"/>
        <w:jc w:val="left"/>
        <w:rPr/>
      </w:pPr>
      <w:r>
        <w:rPr/>
        <w:t>“</w:t>
      </w:r>
      <w:r>
        <w:rPr>
          <w:rFonts w:ascii="Times New Roman" w:hAnsi="Times New Roman"/>
          <w:sz w:val="20"/>
        </w:rPr>
        <w:t xml:space="preserve">indenture security holder” means a Securityholder. </w:t>
      </w:r>
    </w:p>
    <w:p>
      <w:pPr>
        <w:pStyle w:val="TextBody"/>
        <w:bidi w:val="0"/>
        <w:spacing w:before="240" w:after="0"/>
        <w:jc w:val="left"/>
        <w:rPr/>
      </w:pPr>
      <w:r>
        <w:rPr/>
        <w:t>“</w:t>
      </w:r>
      <w:r>
        <w:rPr>
          <w:rFonts w:ascii="Times New Roman" w:hAnsi="Times New Roman"/>
          <w:sz w:val="20"/>
        </w:rPr>
        <w:t xml:space="preserve">indenture to be qualified” means this Indenture. </w:t>
      </w:r>
    </w:p>
    <w:p>
      <w:pPr>
        <w:pStyle w:val="TextBody"/>
        <w:bidi w:val="0"/>
        <w:spacing w:before="240" w:after="0"/>
        <w:jc w:val="left"/>
        <w:rPr/>
      </w:pPr>
      <w:r>
        <w:rPr/>
        <w:t>“</w:t>
      </w:r>
      <w:r>
        <w:rPr>
          <w:rFonts w:ascii="Times New Roman" w:hAnsi="Times New Roman"/>
          <w:sz w:val="20"/>
        </w:rPr>
        <w:t xml:space="preserve">indenture trustee” or “institutional trustee” means the Trustee. </w:t>
      </w:r>
    </w:p>
    <w:p>
      <w:pPr>
        <w:pStyle w:val="TextBody"/>
        <w:bidi w:val="0"/>
        <w:spacing w:before="240" w:after="0"/>
        <w:jc w:val="left"/>
        <w:rPr/>
      </w:pPr>
      <w:r>
        <w:rPr/>
        <w:t>“</w:t>
      </w:r>
      <w:r>
        <w:rPr>
          <w:rFonts w:ascii="Times New Roman" w:hAnsi="Times New Roman"/>
          <w:sz w:val="20"/>
        </w:rPr>
        <w:t xml:space="preserve">obligor” on the indenture securities means the Company or any other obligor on the Securities of a Series. </w:t>
      </w:r>
    </w:p>
    <w:p>
      <w:pPr>
        <w:pStyle w:val="TextBody"/>
        <w:bidi w:val="0"/>
        <w:spacing w:before="240" w:after="0"/>
        <w:jc w:val="left"/>
        <w:rPr>
          <w:rFonts w:ascii="Times New Roman" w:hAnsi="Times New Roman"/>
          <w:sz w:val="20"/>
        </w:rPr>
      </w:pPr>
      <w:r>
        <w:rPr>
          <w:rFonts w:ascii="Times New Roman" w:hAnsi="Times New Roman"/>
          <w:sz w:val="20"/>
        </w:rPr>
        <w:t xml:space="preserve">All other TIA terms used in this Indenture that are defined by the TIA, defined by TIA reference to another statute or defined by SEC rule have the meanings so assigned to them.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1.04 </w:t>
      </w:r>
      <w:r>
        <w:rPr>
          <w:rFonts w:ascii="Times New Roman" w:hAnsi="Times New Roman"/>
          <w:b/>
          <w:sz w:val="20"/>
          <w:u w:val="single"/>
        </w:rPr>
        <w:t>Rules of Construction.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term has the meaning assigned to it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accounting term not otherwise defined has the meaning assigned to it in accordance with GAAP and all accounting determinations shall be made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pPr>
            <w:r>
              <w:rPr/>
              <w:t>“</w:t>
            </w:r>
            <w:r>
              <w:rPr>
                <w:rFonts w:ascii="Times New Roman" w:hAnsi="Times New Roman"/>
                <w:sz w:val="20"/>
              </w:rPr>
              <w:t xml:space="preserve">or” is not exclusive and “including” means “including without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in the singular include the plural, and in the plural include the singular;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pPr>
            <w:r>
              <w:rPr/>
              <w:t>“</w:t>
            </w:r>
            <w:r>
              <w:rPr>
                <w:rFonts w:ascii="Times New Roman" w:hAnsi="Times New Roman"/>
                <w:sz w:val="20"/>
              </w:rPr>
              <w:t xml:space="preserve">herein,” “hereof” and “hereunder,” and other words of similar import, refer to this Indenture as a whole (including any Authorizing Resolution or supplemental indenture relating to the relevant Series) and not to any particular Article, Section or other subdivision;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exhibits are incorporated by reference herein and expressly made a part of this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or event shall be considered “permitted by” or made “in accordance with” or “in compliance with” this Indenture or any particular provision thereof if such transaction or event is not expressly prohibited by this Indenture or such provision, as the case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TWO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w:t>
      </w:r>
      <w:r>
        <w:rPr>
          <w:rFonts w:ascii="Times New Roman" w:hAnsi="Times New Roman"/>
          <w:b/>
          <w:sz w:val="20"/>
          <w:u w:val="single"/>
        </w:rPr>
        <w:t>Form and Dating.</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Securities that may be issued under this Base Indenture is unlimited. The Securities may be issued from time to time in one or more Series. Each Series shall be created by an Authorizing Resolution or a supplemental indenture that establishes the terms of the Series, which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(which shall distinguish the Securities of such Series from all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(or any limit on the aggregate principal amount) of the Series and, if any Securities of a Series are to be issued at a discount from their face amount, the method of computing the accretion of such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method of calculation of the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dates for interest payable on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when, places where and manner in which principal and interest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Registrar and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mandatory (including any sinking fund requirements) or optional redemption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redemption at the option of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permissible denominations in which Securities of such Series are issuable, if different from $2,000 and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Securities of such Series will be issued in registered or bearer form and the terms of any such forms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shall be issued in whole or in part in the form of a Global Security or Securities, the terms and conditions, if different from those contained in this Base Indenture, upon which such Global Security or Securities may be exchanged in whole or in part for Definitive Securities; the Depositary for such Global Security or Securities; and the form of any legend or legends, if any, to be borne by any such Global Security or Securities in addition to or in lieu of the legends referred to in </w:t>
            </w:r>
            <w:r>
              <w:rPr>
                <w:rFonts w:ascii="Times New Roman" w:hAnsi="Times New Roman"/>
                <w:sz w:val="20"/>
                <w:u w:val="single"/>
              </w:rPr>
              <w:t>Section 2.15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any composite currency) in which principal or interest or both may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or interest may be made in a currency other than that in which Securities of such Series are denominated, the manner for determining such payments, including the time and manner of determining the exchange rate between the currency in which such Securities are denominated and the currency in which such Securities or any of them may be paid, and any deletions from or modifications of or additions to the terms of this Indenture to provide for or to facilitate the issuance of Securities denominated or payable, at the election of the Company or a Holder thereof or otherwise, in a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electronic issuance of Securities or issuance of Securities of such Series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covenants and/or defined terms in addition to or in lieu of those set forth in this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Securities of such Series may be defeased or discharged if different from the provisions set forth in this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Securities of such Series, which, unless the Authorizing Resolution or supplemental indenture otherwise provides, shall be in the form of </w:t>
            </w:r>
            <w:r>
              <w:rPr>
                <w:rFonts w:ascii="Times New Roman" w:hAnsi="Times New Roman"/>
                <w:sz w:val="20"/>
                <w:u w:val="single"/>
              </w:rPr>
              <w:t>Exhibit 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that may be required by or advisable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of the Securities of such Series which is payable if the maturity of the Securities of such Series is accelerated in the case of Securities issued at a discount from their face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Securities of such Series will or will not have the benefit of guarantees and the Company’s Subsidiaries that will be the initial guarantors of such Series and, if applicable, the terms and conditions upon which such guarantees may be subordinated to other indebtedness of the respective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such Series are senior or subordinated debt securities, and if subordinated debt securities, the terms of such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relation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in addition to or different from those contained in this Base Indenture applicable to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Securities of one Series need not be issued at the same time and, unless otherwise provided, a Series may be reopened for issuances of additional Securities of such Series pursuant to an Authorizing Resolution, an Officers’ Certificate or in any indenture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The creation and issuance of a Series and the authentication and delivery thereof are not subject to any conditions precedent.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2.02 </w:t>
      </w:r>
      <w:r>
        <w:rPr>
          <w:rFonts w:ascii="Times New Roman" w:hAnsi="Times New Roman"/>
          <w:b/>
          <w:sz w:val="20"/>
          <w:u w:val="single"/>
        </w:rPr>
        <w:t>Execution and Authentication.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One Officer shall sign the Securities for the Company by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Trustee authenticates the Security,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the Trustee manually signs the certificate of authentication on the Security. The signature shall be conclusive evidence that the Security has been authenticated under this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to the Trustee for authentication. Each Security shall be dated the date of its authentication. The Trustee shall authenticate Securities for original issue upon receipt of, and shall be fully protected in relying upon: </w:t>
      </w:r>
    </w:p>
    <w:p>
      <w:pPr>
        <w:pStyle w:val="TextBody"/>
        <w:bidi w:val="0"/>
        <w:spacing w:before="240" w:after="0"/>
        <w:jc w:val="left"/>
        <w:rPr>
          <w:rFonts w:ascii="Times New Roman" w:hAnsi="Times New Roman"/>
          <w:sz w:val="20"/>
        </w:rPr>
      </w:pPr>
      <w:r>
        <w:rPr>
          <w:rFonts w:ascii="Times New Roman" w:hAnsi="Times New Roman"/>
          <w:sz w:val="20"/>
        </w:rPr>
        <w:t xml:space="preserve">(a) an order to the Trustee signed by an officer of the Company directing the Trustee to authenticate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a copy of the resolution or resolutions of the Board of Directors in or pursuant to which the terms and form of the Securities were established, certified by the Secretary or an Assistant Secretary of the Company to have been duly adopted by the Board of Directors and to be in full force and effect as of the date of such certificate, and if the terms and form of such Securities are established by an Officers’ Certificate pursuant to general authorization of the Board of Directors, such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(c) an Officers’ Certificate of the Company delivered in accordance with Section 12.04; and </w:t>
      </w:r>
    </w:p>
    <w:p>
      <w:pPr>
        <w:pStyle w:val="TextBody"/>
        <w:bidi w:val="0"/>
        <w:spacing w:before="240" w:after="0"/>
        <w:jc w:val="left"/>
        <w:rPr>
          <w:rFonts w:ascii="Times New Roman" w:hAnsi="Times New Roman"/>
          <w:sz w:val="20"/>
        </w:rPr>
      </w:pPr>
      <w:r>
        <w:rPr>
          <w:rFonts w:ascii="Times New Roman" w:hAnsi="Times New Roman"/>
          <w:sz w:val="20"/>
        </w:rPr>
        <w:t xml:space="preserve">(d) an Opinion of Counsel delivered in accordance with Section 12.04.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under this Section if the Trustee, being advised by counsel, determines that such action may not lawfully be taken or if the Trustee in good faith shall determine that such action would expose the Trustee to personal liability to existing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w:t>
      </w:r>
      <w:r>
        <w:rPr>
          <w:rFonts w:ascii="Times New Roman" w:hAnsi="Times New Roman"/>
          <w:b/>
          <w:sz w:val="20"/>
          <w:u w:val="single"/>
        </w:rPr>
        <w:t>Registrar and Paying Agent.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shall maintain an office or agency where Securities may be presented for registration of transfer or where Securities of a Series that are convertible or exchangeable may be surrendered for conversion or exchange (“</w:t>
      </w:r>
      <w:r>
        <w:rPr>
          <w:rFonts w:ascii="Times New Roman" w:hAnsi="Times New Roman"/>
          <w:b/>
          <w:sz w:val="20"/>
        </w:rPr>
        <w:t>Registrar</w:t>
      </w:r>
      <w:r>
        <w:rPr>
          <w:rFonts w:ascii="Times New Roman" w:hAnsi="Times New Roman"/>
          <w:sz w:val="20"/>
        </w:rPr>
        <w:t>”), an office or agency where Securities may be presented for payment (“</w:t>
      </w:r>
      <w:r>
        <w:rPr>
          <w:rFonts w:ascii="Times New Roman" w:hAnsi="Times New Roman"/>
          <w:b/>
          <w:sz w:val="20"/>
        </w:rPr>
        <w:t>Paying Agent</w:t>
      </w:r>
      <w:r>
        <w:rPr>
          <w:rFonts w:ascii="Times New Roman" w:hAnsi="Times New Roman"/>
          <w:sz w:val="20"/>
        </w:rPr>
        <w:t>”) and an office or agency where notices and demands to or upon the Company in respect of the Securities and this Indenture may be served. The Registrar shall keep a register of the Securities and of their transfer and exchange (the “</w:t>
      </w:r>
      <w:r>
        <w:rPr>
          <w:rFonts w:ascii="Times New Roman" w:hAnsi="Times New Roman"/>
          <w:b/>
          <w:sz w:val="20"/>
        </w:rPr>
        <w:t>Security Register</w:t>
      </w:r>
      <w:r>
        <w:rPr>
          <w:rFonts w:ascii="Times New Roman" w:hAnsi="Times New Roman"/>
          <w:sz w:val="20"/>
        </w:rPr>
        <w:t xml:space="preserve">”). The Company may have one or more co-Registrars and one or more additional paying agents. The term “Paying Agent” includes any additional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enter into an appropriate agency agreement with any Agent not a party to this Base Indenture. The agreement shall implement the provisions of this Indenture that relate to such Agent. The Company shall promptly notify the Trustee in writing of the name and address of any such Agent and the Trustee shall have the right to inspect the Security Register at all reasonable times to obtain copies thereof, and the Trustee shall have the right to rely upon such register as to the names and addresses of the Holders and the principal amounts and certificate numbers thereof. If the Company fails to maintain a Registrar or Paying Agent or fails to give the foregoing notice, the Trustee shall act as such.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Registrar and Paying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2.04 </w:t>
      </w:r>
      <w:r>
        <w:rPr>
          <w:rFonts w:ascii="Times New Roman" w:hAnsi="Times New Roman"/>
          <w:b/>
          <w:sz w:val="20"/>
          <w:u w:val="single"/>
        </w:rPr>
        <w:t>Paying Agent to Hold Money in Trust.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Paying Agent shall hold in trust for the benefit of Securityholders and the Trustee all money held by the Paying Agent for the payment of principal of or interest on the Securities, and shall notify the Trustee of any default by the Company in making any such payment. If the Company or a Subsidiary acts as Paying Agent, it shall segregate the money and hold it as a separate trust fund. The Company at any time may require a Paying Agent to pay all money held by it to the Trustee. Upon doing so the Paying Agent shall have no further liability for the money.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2.05 </w:t>
      </w:r>
      <w:r>
        <w:rPr>
          <w:rFonts w:ascii="Times New Roman" w:hAnsi="Times New Roman"/>
          <w:b/>
          <w:sz w:val="20"/>
          <w:u w:val="single"/>
        </w:rPr>
        <w:t>Securityholder Lists.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Securityholders. If the Trustee is not the Registrar, the Company shall furnish to the Trustee at least five (5) Business Days before each semiannual interest payment date and at such other times as the Trustee may request in writing a list in such form and as of such date as the Trustee may reasonably require of the names and addresses of Securityholders.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2.06 </w:t>
      </w:r>
      <w:r>
        <w:rPr>
          <w:rFonts w:ascii="Times New Roman" w:hAnsi="Times New Roman"/>
          <w:b/>
          <w:sz w:val="20"/>
          <w:u w:val="single"/>
        </w:rPr>
        <w:t>Transfer and Exchange.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a Security is presented to the Registrar or a co-Registrar with a request to register a transfer, the Registrar shall register the transfer as requested if the requirements of Section 8-401(a) of the NYUCC are met and the other provisions of this </w:t>
      </w:r>
      <w:r>
        <w:rPr>
          <w:rFonts w:ascii="Times New Roman" w:hAnsi="Times New Roman"/>
          <w:sz w:val="20"/>
          <w:u w:val="single"/>
        </w:rPr>
        <w:t>Section 2.06</w:t>
      </w:r>
      <w:r>
        <w:rPr>
          <w:rFonts w:ascii="Times New Roman" w:hAnsi="Times New Roman"/>
          <w:sz w:val="20"/>
        </w:rPr>
        <w:t xml:space="preserve"> are satisfied. Where Securities are presented to the Registrar or a co-Registrar with a request to exchange them for an equal principal amount of Securities of other denominations, the Registrar shall make the exchange as requested if the same requirements are met. To permit transfers and exchanges, the Trustee shall authenticate Securities at the Registrar’s request. The Registrar need not transfer or exchange any Security selected for redemption or repurchase, except the unredeemed or repurchased part thereof if the Security is redeemed or repurchased in part, or transfer or exchange any Securities for a period of 15 days before a selection of Securities to be redeemed or repurchased. Any exchange or transfer shall be without charge, except that the Company may require payment of a sum sufficient to cover any tax or other governmental charge that may be imposed in relation thereto except in the case of exchanges pursuant to </w:t>
      </w:r>
      <w:r>
        <w:rPr>
          <w:rFonts w:ascii="Times New Roman" w:hAnsi="Times New Roman"/>
          <w:sz w:val="20"/>
          <w:u w:val="single"/>
        </w:rPr>
        <w:t>2.09</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or </w:t>
      </w:r>
      <w:r>
        <w:rPr>
          <w:rFonts w:ascii="Times New Roman" w:hAnsi="Times New Roman"/>
          <w:sz w:val="20"/>
          <w:u w:val="single"/>
        </w:rPr>
        <w:t>10.05</w:t>
      </w:r>
      <w:r>
        <w:rPr>
          <w:rFonts w:ascii="Times New Roman" w:hAnsi="Times New Roman"/>
          <w:sz w:val="20"/>
        </w:rPr>
        <w:t xml:space="preserve">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Any Holder of a Global Security shall, by acceptance of such Global Security, agree that transfers of beneficial interests in such Global Security may be effected only through a book entry system maintained by the Holder of such Global Security (or its agent), and that ownership of a beneficial interest in the Security shall be required to be reflected in a book entry.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2.07 </w:t>
      </w:r>
      <w:r>
        <w:rPr>
          <w:rFonts w:ascii="Times New Roman" w:hAnsi="Times New Roman"/>
          <w:b/>
          <w:sz w:val="20"/>
          <w:u w:val="single"/>
        </w:rPr>
        <w:t>Replacement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Holder of a Security claims that the Security has been lost, destroyed, mutilated or wrongfully taken, the Company shall issue and execute a replacement Security and, upon written request of any Officer of the Company, the Trustee shall authenticate such replacement Security, </w:t>
      </w:r>
      <w:r>
        <w:rPr>
          <w:rFonts w:ascii="Times New Roman" w:hAnsi="Times New Roman"/>
          <w:i/>
          <w:sz w:val="20"/>
        </w:rPr>
        <w:t>provided</w:t>
      </w:r>
      <w:r>
        <w:rPr>
          <w:rFonts w:ascii="Times New Roman" w:hAnsi="Times New Roman"/>
          <w:sz w:val="20"/>
        </w:rPr>
        <w:t xml:space="preserve">, in the case of a lost, destroyed or wrongfully taken Security, that the requirements of Section 8-405 of the NYUCC are met. If any such lost, destroyed, mutilated or wrongfully taken Security shall have matured or shall be about to mature, the Company may, instead of issuing a substitute Security therefor, pay such Security without requiring (except in the case of a mutilated Security) the surrender thereof. An indemnity bond must be sufficient in the judgment of the Company and the Trustee to protect the Company, the Trustee and any Agent from any loss which any of them may suffer if a Security is replaced, including the acquisition of such Security by a bona fide purchaser. The Company and the Trustee may charge for its expenses in replacing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2.08 </w:t>
      </w:r>
      <w:r>
        <w:rPr>
          <w:rFonts w:ascii="Times New Roman" w:hAnsi="Times New Roman"/>
          <w:b/>
          <w:sz w:val="20"/>
          <w:u w:val="single"/>
        </w:rPr>
        <w:t>Outstanding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Securities outstanding at any time are all Securities authenticated by the Trustee except for those cancelled by it and those described in this Section. A Security does not cease to be outstanding because the Company or one of its Affiliates holds the Security.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w:t>
      </w:r>
      <w:r>
        <w:rPr>
          <w:rFonts w:ascii="Times New Roman" w:hAnsi="Times New Roman"/>
          <w:sz w:val="20"/>
          <w:u w:val="single"/>
        </w:rPr>
        <w:t>Section 2.07</w:t>
      </w:r>
      <w:r>
        <w:rPr>
          <w:rFonts w:ascii="Times New Roman" w:hAnsi="Times New Roman"/>
          <w:sz w:val="20"/>
        </w:rPr>
        <w:t xml:space="preserve">, it ceases to be outstanding unless the Trustee receives proof satisfactory to it that the replaced Security is held by a “protected purchaser” (as such term is defined in the NYUCC).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holds on a redemption date, purchase date or maturity date money sufficient to pay Securities payable on that date, then on and after that date such Securities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2.09 </w:t>
      </w:r>
      <w:r>
        <w:rPr>
          <w:rFonts w:ascii="Times New Roman" w:hAnsi="Times New Roman"/>
          <w:b/>
          <w:sz w:val="20"/>
          <w:u w:val="single"/>
        </w:rPr>
        <w:t>Temporary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Temporary Securities shall be substantially in the form of Definitive Securities but may have variations that the Company considers appropriate for temporary Securities. Without unreasonable delay, the Company shall prepare and, upon surrender for cancellation of the temporary Security, the Company shall execute and the Trustee shall authenticate Definitive Securities in exchange for temporary Securities. Until so exchanged, the temporary Securities shall in all respects be entitled to the same benefits under this Indenture as Definitive Securities authenticated and delivered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2.10 </w:t>
      </w:r>
      <w:r>
        <w:rPr>
          <w:rFonts w:ascii="Times New Roman" w:hAnsi="Times New Roman"/>
          <w:b/>
          <w:sz w:val="20"/>
          <w:u w:val="single"/>
        </w:rPr>
        <w:t>Cancellation.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Paying Agent shall forward to the Trustee any Securities surrendered to them for registration of transfer, exchange, redemption, purchase or payment. The Trustee and no one else shall cancel and dispose of such cancelled or tendered securities, or retain in accordance with its standard retention policy, all Securities surrendered for registration of transfer, exchange, redemption, purchase, payment or cancellation. Unless the Authorizing Resolution or supplemental indenture so provides, the Company may not issue new Securities to replace Securities that it has previously paid or delivered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2.11 </w:t>
      </w:r>
      <w:r>
        <w:rPr>
          <w:rFonts w:ascii="Times New Roman" w:hAnsi="Times New Roman"/>
          <w:b/>
          <w:sz w:val="20"/>
          <w:u w:val="single"/>
        </w:rPr>
        <w:t>Defaulted Interest.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defaults in a payment of interest on the Securities of any Series, it shall pay the defaulted interest </w:t>
      </w:r>
      <w:r>
        <w:rPr>
          <w:rFonts w:ascii="Times New Roman" w:hAnsi="Times New Roman"/>
          <w:i/>
          <w:sz w:val="20"/>
        </w:rPr>
        <w:t>plus</w:t>
      </w:r>
      <w:r>
        <w:rPr>
          <w:rFonts w:ascii="Times New Roman" w:hAnsi="Times New Roman"/>
          <w:sz w:val="20"/>
        </w:rPr>
        <w:t xml:space="preserve"> any interest payable on the defaulted interest to the persons who are Securityholders of such Series on a subsequent special record date. The Company shall fix such special record date and a payment date which shall be reasonably satisfactory to the Trustee. At least 15 days before such special record date, the Company shall mail to each Securityholder of the relevant Series a notice that states the record date, the payment date and the amount of defaulted interest to be paid. On or before the date such notice is mailed, the Company shall deposit with the Paying Agent money sufficient to pay the amount of defaulted interest to be so paid. The Company may pay defaulted interest in any other lawful manner if, after notice given by the Company to the Trustee of the proposed payment, such manner of payment shall be deemed practicable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2.12 </w:t>
      </w:r>
      <w:r>
        <w:rPr>
          <w:rFonts w:ascii="Times New Roman" w:hAnsi="Times New Roman"/>
          <w:b/>
          <w:sz w:val="20"/>
          <w:u w:val="single"/>
        </w:rPr>
        <w:t>Treasury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direction, waiver, consent or notice, Securities owned by the Company or any of its Affiliates shall be considered as though they are not outstanding, except that for the purposes of determining whether the Trustee shall be protected in relying on any such direction, waiver or consent, only Securities which a Trust Officer of the Trustee actually knows are so owned shall be so considered.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2.13 </w:t>
      </w:r>
      <w:r>
        <w:rPr>
          <w:rFonts w:ascii="Times New Roman" w:hAnsi="Times New Roman"/>
          <w:b/>
          <w:sz w:val="20"/>
          <w:u w:val="single"/>
        </w:rPr>
        <w:t>CUSIP/ISIN Numbers.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of any Series may use a “CUSIP” and/or “ISIN” or other similar number, and if so, the Trustee shall use the CUSIP and/or ISIN or other similar number in notices of redemption or exchange as a convenience to Holders of such Securities; </w:t>
      </w:r>
      <w:r>
        <w:rPr>
          <w:rFonts w:ascii="Times New Roman" w:hAnsi="Times New Roman"/>
          <w:i/>
          <w:sz w:val="20"/>
        </w:rPr>
        <w:t>provided</w:t>
      </w:r>
      <w:r>
        <w:rPr>
          <w:rFonts w:ascii="Times New Roman" w:hAnsi="Times New Roman"/>
          <w:sz w:val="20"/>
        </w:rPr>
        <w:t xml:space="preserve"> that no representation is hereby deemed to be made by the Trustee as to the correctness or accuracy of any such CUSIP and/or ISIN or other similar number printed in the notice or on such Securities, and that reliance may be placed only on the other identification numbers printed on such Securities. The Company shall promptly notify the Trustee of any change in any CUSIP and/or ISIN or other similar number.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2.14 </w:t>
      </w:r>
      <w:r>
        <w:rPr>
          <w:rFonts w:ascii="Times New Roman" w:hAnsi="Times New Roman"/>
          <w:b/>
          <w:sz w:val="20"/>
          <w:u w:val="single"/>
        </w:rPr>
        <w:t>Deposit of Moneys.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Prior to 11:00 a.m., New York City time, on each interest payment date and maturity date with respect to each Series of Securities, the Company shall have deposited with the Paying Agent in immediately available funds money in the applicable currency sufficient to make cash payments due on such interest payment date or maturity date, as the case may be, in a timely manner which permits the Paying Agent to remit payment to the Holders of such Series on such interest payment date or maturity date,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2.15 </w:t>
      </w:r>
      <w:r>
        <w:rPr>
          <w:rFonts w:ascii="Times New Roman" w:hAnsi="Times New Roman"/>
          <w:b/>
          <w:sz w:val="20"/>
          <w:u w:val="single"/>
        </w:rPr>
        <w:t>Book-Entry Provisions for Global Security.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Global Security of a Series initially shall (i) be registered in the name of the Depositary or the nominee of such Depositary, (ii) be delivered to the Trustee as custodian for such Depositary and (iii) bear any required legends. </w:t>
      </w:r>
    </w:p>
    <w:p>
      <w:pPr>
        <w:pStyle w:val="TextBody"/>
        <w:bidi w:val="0"/>
        <w:spacing w:before="240" w:after="0"/>
        <w:jc w:val="left"/>
        <w:rPr>
          <w:rFonts w:ascii="Times New Roman" w:hAnsi="Times New Roman"/>
          <w:sz w:val="20"/>
        </w:rPr>
      </w:pPr>
      <w:r>
        <w:rPr>
          <w:rFonts w:ascii="Times New Roman" w:hAnsi="Times New Roman"/>
          <w:sz w:val="20"/>
        </w:rPr>
        <w:t>Members of, or participants in, the Depositary (“</w:t>
      </w:r>
      <w:r>
        <w:rPr>
          <w:rFonts w:ascii="Times New Roman" w:hAnsi="Times New Roman"/>
          <w:b/>
          <w:sz w:val="20"/>
        </w:rPr>
        <w:t>Agent Members</w:t>
      </w:r>
      <w:r>
        <w:rPr>
          <w:rFonts w:ascii="Times New Roman" w:hAnsi="Times New Roman"/>
          <w:sz w:val="20"/>
        </w:rPr>
        <w:t xml:space="preserve">”)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 Holder of any Security. </w:t>
      </w:r>
    </w:p>
    <w:p>
      <w:pPr>
        <w:pStyle w:val="TextBody"/>
        <w:bidi w:val="0"/>
        <w:spacing w:before="120" w:after="0"/>
        <w:jc w:val="left"/>
        <w:rPr>
          <w:rFonts w:ascii="Times New Roman" w:hAnsi="Times New Roman"/>
          <w:sz w:val="20"/>
        </w:rPr>
      </w:pPr>
      <w:r>
        <w:rPr>
          <w:rFonts w:ascii="Times New Roman" w:hAnsi="Times New Roman"/>
          <w:sz w:val="20"/>
        </w:rPr>
        <w:t xml:space="preserve">(b) Transfers of any Global Security shall be limited to transfers in whole, but not in part, to the Depositary, its successors or their respective nominees. Interests of beneficial owners in the Global Security may be transferred or exchanged for Definitive Securities in accordance with the rules and procedures of the Depositary. In addition, Definitive Securities shall be transferred to all beneficial owners in exchange for their beneficial interests in a Global Security if (i) the Depositary notifies the Company that it is unwilling or unable to continue as Depositary for the Global Security or the Depositary has ceased to be a “clearing agency” registered under the Exchange Act, and a successor depository is not appointed by the Company within 90 days of such notice, or (ii) the Company elects, at any time in its sole discretion, to discontinue use of the system of book entry transfer through any Depositary. Any Security that is held in the form of a Global Security and that is exchanged pursuant to clause (i) above shall be so exchanged in whole and not in part, and any Security that is held in the form of a Global Security and that is exchanged pursuant to clause (ii) above may be exchanged in whole or from time to time in part as directed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connection with any transfer or exchange of a portion of the beneficial interest in any Global Security to beneficial owners pursuant to </w:t>
      </w:r>
      <w:r>
        <w:rPr>
          <w:rFonts w:ascii="Times New Roman" w:hAnsi="Times New Roman"/>
          <w:sz w:val="20"/>
          <w:u w:val="single"/>
        </w:rPr>
        <w:t>paragraph (b)</w:t>
      </w:r>
      <w:r>
        <w:rPr>
          <w:rFonts w:ascii="Times New Roman" w:hAnsi="Times New Roman"/>
          <w:sz w:val="20"/>
        </w:rPr>
        <w:t xml:space="preserve">, the Registrar shall (if one or more Definitive Securities are to be issued) reflect on its books and records the date and a decrease in the principal amount of the Global Security in an amount equal to the principal amount of the beneficial interest in the Global Security to be transferred, and the Company shall execute, and the Trustee shall authenticate and deliver, one or more Definitive Securities of like Series and amount. </w:t>
      </w:r>
    </w:p>
    <w:p>
      <w:pPr>
        <w:pStyle w:val="TextBody"/>
        <w:bidi w:val="0"/>
        <w:spacing w:before="120" w:after="0"/>
        <w:jc w:val="left"/>
        <w:rPr>
          <w:rFonts w:ascii="Times New Roman" w:hAnsi="Times New Roman"/>
          <w:sz w:val="20"/>
        </w:rPr>
      </w:pPr>
      <w:r>
        <w:rPr>
          <w:rFonts w:ascii="Times New Roman" w:hAnsi="Times New Roman"/>
          <w:sz w:val="20"/>
        </w:rPr>
        <w:t xml:space="preserve">(d) In connection with the transfer of an entire Global Security to beneficial owners pursuant to </w:t>
      </w:r>
      <w:r>
        <w:rPr>
          <w:rFonts w:ascii="Times New Roman" w:hAnsi="Times New Roman"/>
          <w:sz w:val="20"/>
          <w:u w:val="single"/>
        </w:rPr>
        <w:t>paragraph (b)</w:t>
      </w:r>
      <w:r>
        <w:rPr>
          <w:rFonts w:ascii="Times New Roman" w:hAnsi="Times New Roman"/>
          <w:sz w:val="20"/>
        </w:rPr>
        <w:t xml:space="preserve">, the Global Security shall be deemed to be surrendered to the Trustee for cancellation, and the Company shall execute, and the Trustee shall authenticate and deliver, to each beneficial owner identified by the Depositary in exchange for its beneficial interest in the Global Security, an equal aggregate principal amount of Definitive Securities of the same Series in authorized denominations. </w:t>
      </w:r>
    </w:p>
    <w:p>
      <w:pPr>
        <w:pStyle w:val="TextBody"/>
        <w:bidi w:val="0"/>
        <w:spacing w:before="120" w:after="0"/>
        <w:jc w:val="left"/>
        <w:rPr>
          <w:rFonts w:ascii="Times New Roman" w:hAnsi="Times New Roman"/>
          <w:sz w:val="20"/>
        </w:rPr>
      </w:pPr>
      <w:r>
        <w:rPr>
          <w:rFonts w:ascii="Times New Roman" w:hAnsi="Times New Roman"/>
          <w:sz w:val="20"/>
        </w:rPr>
        <w:t xml:space="preserve">(e) The Holder of any Global Security may grant proxies and otherwise authorize any person, including Agent Members and persons that may hold interests through Agent Members, to take any action which a Holder is entitled to take under this Indenture or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(f) Unless otherwise provided in the Authorizing Resolution or supplemental indenture for a particular Series of Securities, each Global Security of such Series shall bear legends in substantially the following forms: </w:t>
      </w:r>
    </w:p>
    <w:p>
      <w:pPr>
        <w:pStyle w:val="TextBody"/>
        <w:bidi w:val="0"/>
        <w:spacing w:before="240" w:after="0"/>
        <w:jc w:val="left"/>
        <w:rPr/>
      </w:pPr>
      <w:r>
        <w:rPr/>
        <w:t>“</w:t>
      </w:r>
      <w:r>
        <w:rPr>
          <w:rFonts w:ascii="Times New Roman" w:hAnsi="Times New Roman"/>
          <w:sz w:val="20"/>
        </w:rPr>
        <w:t xml:space="preserve">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AND SECTION 2.15 OF THE INDENTURE, (III) THIS GLOBAL SECURITY MAY BE DELIVERED TO THE TRUSTEE FOR CANCELLATION PURSUANT TO THE INDENTURE AND (IV) THIS GLOBAL SECURITY MAY BE TRANSFERRED TO A SUCCESSOR DEPOSITARY WITH THE PRIOR WRITTEN CONSENT OF THE COMPANY.” </w:t>
      </w:r>
    </w:p>
    <w:p>
      <w:pPr>
        <w:pStyle w:val="TextBody"/>
        <w:bidi w:val="0"/>
        <w:spacing w:before="240" w:after="0"/>
        <w:jc w:val="left"/>
        <w:rPr/>
      </w:pPr>
      <w:r>
        <w:rPr/>
        <w:t>“</w:t>
      </w:r>
      <w:r>
        <w:rPr>
          <w:rFonts w:ascii="Times New Roman" w:hAnsi="Times New Roman"/>
          <w:sz w:val="20"/>
        </w:rPr>
        <w:t xml:space="preserve">UNLESS AND UNTIL IT IS EXCHANGED IN WHOLE OR IN PART FOR SECURITIES IN DEFINITIVE FORM, THIS SECURITY MAY NOT BE TRANSFERRED EXCEPT AS A WHOLE BY THE DEPOSITARY TO A NOMINEE OF THE DEPOSITARY OR BY A NOMINEE OF THE DEPOSITARY TO THE DEPOSITARY OR TO ANOTHER NOMINEE OF THE DEPOSITARY OR BY THE DEPOSITARY OR ANY SUCH NOMINEE TO A SUCCESSOR DEPOSITARY OR A NOMINEE OF SUCH SUCCESSOR DEPOSITARY. UNLESS THIS CERTIFICATE IS PRESENTED BY AN AUTHORIZED REPRESENTATIVE OF THE DEPOSITORY TRUST COMPANY, A NEW YORK CORPORATION (“DTC”), TO ISSUER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2.16 </w:t>
      </w:r>
      <w:r>
        <w:rPr>
          <w:rFonts w:ascii="Times New Roman" w:hAnsi="Times New Roman"/>
          <w:b/>
          <w:sz w:val="20"/>
          <w:u w:val="single"/>
        </w:rPr>
        <w:t>No Duty to Monitor.</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any Agent shall have any responsibility for any actions taken or not taken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THREE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w:t>
      </w:r>
      <w:r>
        <w:rPr>
          <w:rFonts w:ascii="Times New Roman" w:hAnsi="Times New Roman"/>
          <w:b/>
          <w:sz w:val="20"/>
          <w:u w:val="single"/>
        </w:rPr>
        <w:t>Notices to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 Series that are redeemable prior to maturity shall be redeemable in accordance with their terms and, unless the Authorizing Resolution or supplemental indenture provides otherwise, in accordance with this </w:t>
      </w:r>
      <w:r>
        <w:rPr>
          <w:rFonts w:ascii="Times New Roman" w:hAnsi="Times New Roman"/>
          <w:sz w:val="20"/>
          <w:u w:val="single"/>
        </w:rPr>
        <w:t>Article Three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wants to redeem Securities pursuant to </w:t>
      </w:r>
      <w:r>
        <w:rPr>
          <w:rFonts w:ascii="Times New Roman" w:hAnsi="Times New Roman"/>
          <w:sz w:val="20"/>
          <w:u w:val="single"/>
        </w:rPr>
        <w:t>Paragraph 4</w:t>
      </w:r>
      <w:r>
        <w:rPr>
          <w:rFonts w:ascii="Times New Roman" w:hAnsi="Times New Roman"/>
          <w:sz w:val="20"/>
        </w:rPr>
        <w:t xml:space="preserve"> of the Securities, it shall notify the Trustee in writing of the redemption date and the principal amount of Securities to be redeemed. Any such notice may be cancelled at any time prior to notice of such redemption being mailed to Holders. Any such cancelled notice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wants to credit any Securities previously redeemed, retired or acquired against any redemption pursuant to </w:t>
      </w:r>
      <w:r>
        <w:rPr>
          <w:rFonts w:ascii="Times New Roman" w:hAnsi="Times New Roman"/>
          <w:sz w:val="20"/>
          <w:u w:val="single"/>
        </w:rPr>
        <w:t>Paragraph 5</w:t>
      </w:r>
      <w:r>
        <w:rPr>
          <w:rFonts w:ascii="Times New Roman" w:hAnsi="Times New Roman"/>
          <w:sz w:val="20"/>
        </w:rPr>
        <w:t xml:space="preserve"> of the Securities, it shall notify the Trustee of the amount of the credit and it shall deliver any Securities not previously delivered to the Trustee for cancellation with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give each notice provided for in this </w:t>
      </w:r>
      <w:r>
        <w:rPr>
          <w:rFonts w:ascii="Times New Roman" w:hAnsi="Times New Roman"/>
          <w:sz w:val="20"/>
          <w:u w:val="single"/>
        </w:rPr>
        <w:t>Section 3.01</w:t>
      </w:r>
      <w:r>
        <w:rPr>
          <w:rFonts w:ascii="Times New Roman" w:hAnsi="Times New Roman"/>
          <w:sz w:val="20"/>
        </w:rPr>
        <w:t xml:space="preserve"> at least 30 days before the notice of any such redemption is to be delivered to Holders (unless a shorter notice shall be satisfactory to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3.02 </w:t>
      </w:r>
      <w:r>
        <w:rPr>
          <w:rFonts w:ascii="Times New Roman" w:hAnsi="Times New Roman"/>
          <w:b/>
          <w:sz w:val="20"/>
          <w:u w:val="single"/>
        </w:rPr>
        <w:t>Selection of Securities to be Redeemed.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fewer than all of the Securities of a Series are to be redeemed, the Trustee (or depository, as applicable) shall select the Securities to be redeemed by lot, pro rata, or such other method the Trustee (or depository, as applicable) considers fair and appropriate and in a manner that complies with applicable requirements of the Depositary. The Trustee (or depository, as applicable) shall make the selection from Securities outstanding not previously called for redemption and shall promptly notify the Company of the serial numbers or other identifying attributes of the Securities so selected. The Trustee (or depository, as applicable) may select for redemption portions of the principal of Securities that have denominations larger than the minimum denomination for the Series. Securities and portions of them it selects shall be in amounts equal to a permissible denomination for the Series. Provisions of this Indenture that apply to Securities called for redemption also apply to portions of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Authorizing Resolution or supplemental indenture relating to a Series, if any Security selected for partial redemption is converted into or exchanged for the Company’s Capital Stock or other securities, cash or other property in part before termination of the conversion or exchange right with respect to the portion of the Security so selected, the converted portion of such Security shall be deemed (so far as may be) to be the portion selected for redemption. Securities which have been converted or exchanged during a selection of Securities to be redeemed shall be treated by the Trustee as outstanding for the purpose of such selection.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3.03 </w:t>
      </w:r>
      <w:r>
        <w:rPr>
          <w:rFonts w:ascii="Times New Roman" w:hAnsi="Times New Roman"/>
          <w:b/>
          <w:sz w:val="20"/>
          <w:u w:val="single"/>
        </w:rPr>
        <w:t>Notice of Redemption.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least 30 days but not more than 60 days before a redemption date, the Company shall mail a notice of redemption by first-class mail, postage prepaid, to each Holder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Securities to be redeemed and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or the formula pursuant to which such price will be calculated;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Security is being redeemed in part, the portion of the principal amount of such Security to be redeemed and that, after the redemption date, upon surrender of such Security, a new Security or Securities in principal amount equal to the unredeemed portion shall be issued upon cancellation of the original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Securities of a Series that are convertible or exchangeable into shares of the Company’s Capital Stock or other securities, cash or other property, the conversion or exchange price or rate, the date or dates on which the right to convert or exchange the principal of the Securities of such Series to be redeemed will commence or terminate and the place or places where such Securities may be surrendered for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Securities called for redemption must be surrendered to the Paying Agent to collect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interest on Securities called for redemption ceases to accrue on and after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Securities are being redeemed pursuant to the mandatory redemption or the optional redemption provisions,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CUSIP number and/or ISIN or other similar number used to identify the Securities, that no representation is hereby deemed to be made by the Trustee as to the correctness or accuracy of any such CUSIP and/or ISIN or other similar number printed in the notice or on such Securities, and that reliance may be placed only on the other identification numbers printed on such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deliver to the Trustee at least 15 days prior to the date on which notice of redemption is to be mailed or such shorter period as may be satisfactory to the Trustee, an Officers’ Certificate requesting that the Trustee give such notice and setting forth the information to be stated in such notice as provided in the preceding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3.04 </w:t>
      </w:r>
      <w:r>
        <w:rPr>
          <w:rFonts w:ascii="Times New Roman" w:hAnsi="Times New Roman"/>
          <w:b/>
          <w:sz w:val="20"/>
          <w:u w:val="single"/>
        </w:rPr>
        <w:t>Effect of Notice of Redemption.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Once notice of redemption is mailed, Securities called for redemption become due and payable on the redemption date and at the redemption price as set forth in the notice of redemption, which notice, and which obligation to redeem such Securities, may, at the Company’s discretion, be subject to one or more conditions precedent as set forth in such notice. Upon surrender to the Paying Agent, such Securities shall be paid at the redemption price, </w:t>
      </w:r>
      <w:r>
        <w:rPr>
          <w:rFonts w:ascii="Times New Roman" w:hAnsi="Times New Roman"/>
          <w:i/>
          <w:sz w:val="20"/>
        </w:rPr>
        <w:t>plus</w:t>
      </w:r>
      <w:r>
        <w:rPr>
          <w:rFonts w:ascii="Times New Roman" w:hAnsi="Times New Roman"/>
          <w:sz w:val="20"/>
        </w:rPr>
        <w:t xml:space="preserve"> accrued and unpaid interest to the redemption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3.05 </w:t>
      </w:r>
      <w:r>
        <w:rPr>
          <w:rFonts w:ascii="Times New Roman" w:hAnsi="Times New Roman"/>
          <w:b/>
          <w:sz w:val="20"/>
          <w:u w:val="single"/>
        </w:rPr>
        <w:t>Deposit of Redemption Price.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or before the redemption date, the Company shall deposit with the Paying Agent immediately available funds in the applicable currency sufficient to pay the redemption price of and accrued interest on all Securities to be redeemed on that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3.06 </w:t>
      </w:r>
      <w:r>
        <w:rPr>
          <w:rFonts w:ascii="Times New Roman" w:hAnsi="Times New Roman"/>
          <w:b/>
          <w:sz w:val="20"/>
          <w:u w:val="single"/>
        </w:rPr>
        <w:t>Securities Redeemed in Part.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Security that is redeemed in part, the Company shall execute and the Trustee shall authenticate for each Holder a new Security of the same Series equal in principal amount to the unredeemed portion of the Security surrendered.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FOUR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w:t>
      </w:r>
      <w:r>
        <w:rPr>
          <w:rFonts w:ascii="Times New Roman" w:hAnsi="Times New Roman"/>
          <w:b/>
          <w:sz w:val="20"/>
          <w:u w:val="single"/>
        </w:rPr>
        <w:t>Payment of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the principal of, premium, if any, and interest on a Series on the dates, in the currency and in the manner provided in the Securities of the Series. An installment of principal, premium, if any, or interest shall be considered paid on the date it is due if the Paying Agent holds on that date money in the applicable currency designated for and sufficient to pay the installment.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4.02 </w:t>
      </w:r>
      <w:r>
        <w:rPr>
          <w:rFonts w:ascii="Times New Roman" w:hAnsi="Times New Roman"/>
          <w:b/>
          <w:sz w:val="20"/>
          <w:u w:val="single"/>
        </w:rPr>
        <w:t>Maintenance of Office or Agency.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maintain the office or agency required under </w:t>
      </w:r>
      <w:r>
        <w:rPr>
          <w:rFonts w:ascii="Times New Roman" w:hAnsi="Times New Roman"/>
          <w:sz w:val="20"/>
          <w:u w:val="single"/>
        </w:rPr>
        <w:t>Section 2.03</w:t>
      </w:r>
      <w:r>
        <w:rPr>
          <w:rFonts w:ascii="Times New Roman" w:hAnsi="Times New Roman"/>
          <w:sz w:val="20"/>
        </w:rPr>
        <w:t xml:space="preserve">. The Company shall give prior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4.03 </w:t>
      </w:r>
      <w:r>
        <w:rPr>
          <w:rFonts w:ascii="Times New Roman" w:hAnsi="Times New Roman"/>
          <w:b/>
          <w:sz w:val="20"/>
          <w:u w:val="single"/>
        </w:rPr>
        <w:t>Reports.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any time when the Company is subject to the reporting requirements of Section 13 or 15(d) of the Exchange Act, the Company shall file with the Trustee, within fifteen (15) days after it actually files the same with the SEC (regardless of when the same is required to be filed with the SEC), each annual, quarterly or current report, information or proxy statement or other report which the Company is required to file with the SEC pursuant to Section 13 or 15(d) of the Exchange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file or deliver to the Trustee any material for which the Company has sought and received, or is seeking, confidential treatment by the SEC; and, </w:t>
      </w:r>
      <w:r>
        <w:rPr>
          <w:rFonts w:ascii="Times New Roman" w:hAnsi="Times New Roman"/>
          <w:i/>
          <w:sz w:val="20"/>
        </w:rPr>
        <w:t>provided further</w:t>
      </w:r>
      <w:r>
        <w:rPr>
          <w:rFonts w:ascii="Times New Roman" w:hAnsi="Times New Roman"/>
          <w:sz w:val="20"/>
        </w:rPr>
        <w:t xml:space="preserve">, that the Company shall be deemed to have filed such information with the Trustee if the Company has filed such information on the SEC’s EDGAR system (or any successor system) and such information is publicly available. The Company also shall comply with the other provisions of TIA Section 314(a). The Trustee does not have the duty to review such information, documents or reports, is not considered to have notice of the content of such information, documents or reports and does not have a duty to verify the accuracy of such information, documents or reports.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4.04 </w:t>
      </w:r>
      <w:r>
        <w:rPr>
          <w:rFonts w:ascii="Times New Roman" w:hAnsi="Times New Roman"/>
          <w:b/>
          <w:sz w:val="20"/>
          <w:u w:val="single"/>
        </w:rPr>
        <w:t>Compliance Certificate.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of the Company an Officers’ Certificate stating whether or not the signers know of any continuing Default by the Company in performing any of its obligations under this Indenture. If they do know of such a Default, the certificate shall describe the Default. In addition, the Company will notify the Trustee within 5 Business Days upon the Company’s knowledge of a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4.05 </w:t>
      </w:r>
      <w:r>
        <w:rPr>
          <w:rFonts w:ascii="Times New Roman" w:hAnsi="Times New Roman"/>
          <w:b/>
          <w:sz w:val="20"/>
          <w:u w:val="single"/>
        </w:rPr>
        <w:t>Waiver of Stay, Extension or Usury Laws.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or extension law or any usury law or other law that would prohibit or forgive the Company from paying all or any portion of the principal of or interest on the Securities of any Series as contemplated herein, wherever enacted, now or at any time hereafter in force, or which may affect the covenants or the performance of this Indenture; and (to the extent that it may lawfully do so) the Company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FIVE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w:t>
      </w:r>
      <w:r>
        <w:rPr>
          <w:rFonts w:ascii="Times New Roman" w:hAnsi="Times New Roman"/>
          <w:b/>
          <w:sz w:val="20"/>
          <w:u w:val="single"/>
        </w:rPr>
        <w:t>When Company May Merge, etc.</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consolidate or merge with or into, or sell, lease, convey or otherwise dispose of all or substantially all of its assets (including by way of liquidation or dissolution), to any Person (in each case other than in a transaction in which the Company is the survivor of a consolidation or merger, or the transferee in a sale, lease, conveyance or other disposition)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Person formed by or surviving such consolidation or merger (if other than the Company), or to which such sale, lease, conveyance or other disposition will be made (collectively, the “</w:t>
            </w:r>
            <w:r>
              <w:rPr>
                <w:rFonts w:ascii="Times New Roman" w:hAnsi="Times New Roman"/>
                <w:b/>
                <w:sz w:val="20"/>
              </w:rPr>
              <w:t>Successor</w:t>
            </w:r>
            <w:r>
              <w:rPr>
                <w:rFonts w:ascii="Times New Roman" w:hAnsi="Times New Roman"/>
                <w:sz w:val="20"/>
              </w:rPr>
              <w:t xml:space="preserve">”) assumes by supplemental indenture in a form reasonably satisfactory to the Trustee all of the obligations of the Company under the Securities, as the case may be, and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Default or Event of Default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shall not apply to a transaction the purpose of which is to change the state of incorporation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Upon any such consolidation, merger, sale, lease, conveyance or other disposition, the Successor will be substituted for the Company under the Indenture. The Successor may then exercise every power and right of the Company under this Indenture, and except in the case of a lease, the Company will be released from all of its liabilities and obligations in respect of the Securities and the Indenture. If the Company leases all or substantially all of its assets, the Company will not be released from its obligations to pay the principal of and interest, if any, on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SIX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6.01 </w:t>
      </w:r>
      <w:r>
        <w:rPr>
          <w:rFonts w:ascii="Times New Roman" w:hAnsi="Times New Roman"/>
          <w:b/>
          <w:sz w:val="20"/>
          <w:u w:val="single"/>
        </w:rPr>
        <w:t>Events of Default.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 “</w:t>
      </w:r>
      <w:r>
        <w:rPr>
          <w:rFonts w:ascii="Times New Roman" w:hAnsi="Times New Roman"/>
          <w:b/>
          <w:sz w:val="20"/>
        </w:rPr>
        <w:t>Event of Default</w:t>
      </w:r>
      <w:r>
        <w:rPr>
          <w:rFonts w:ascii="Times New Roman" w:hAnsi="Times New Roman"/>
          <w:sz w:val="20"/>
        </w:rPr>
        <w:t xml:space="preserve">” with respect to a Series occurs upon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by the Company to pay interest on any Security of such Series when the same becomes due and payable and the continuance of any such failure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by the Company to pay the principal of any Security of such Series when the same becomes due and payable at maturity, upon acceleration,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by the Company to comply with any of its agreements or covenants in, or provisions of, the Securities of such Series or this Indenture (as they relate thereto) and such failure continues for the period and after the notice specified below (except in the case of a default with respect to Article Five (or any other provision specified in the applicable supplemental indenture or Authorizing Resolution), which will constitute an Event of Default with notice but without passage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any Subsidiary that is a Significant Subsidiary pursuant to or within the meaning of any Bankruptcy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commences a voluntary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to the entry of an order for relief against it in an involuntary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to the appointment of a Custodian of it or for all or substantially all of its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a general assignment for the benefit of its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an order or decree under any Bankruptcy Law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for relief against the Company or any Subsidiary that is a Significant Subsidiary as debtor in an involuntary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appoints a Custodian of the Company or any Subsidiary that is a Significant Subsidiary or a Custodian for all or substantially all of the Property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orders the liquidation of the Company or any Subsidiary that is a Significant Subsidiary, and the order or decree remains unstayed and in effect for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Default as described in </w:t>
      </w:r>
      <w:r>
        <w:rPr>
          <w:rFonts w:ascii="Times New Roman" w:hAnsi="Times New Roman"/>
          <w:sz w:val="20"/>
          <w:u w:val="single"/>
        </w:rPr>
        <w:t>subclause (3)</w:t>
      </w:r>
      <w:r>
        <w:rPr>
          <w:rFonts w:ascii="Times New Roman" w:hAnsi="Times New Roman"/>
          <w:sz w:val="20"/>
        </w:rPr>
        <w:t xml:space="preserve"> above will not be deemed an Event of Default until the Trustee notifies the Company, or the Holders of at least 25 percent in principal amount of the then outstanding Securities of the applicable Series notify the Company and the Trustee, of the Default and (except in the case of a default with respect to </w:t>
      </w:r>
      <w:r>
        <w:rPr>
          <w:rFonts w:ascii="Times New Roman" w:hAnsi="Times New Roman"/>
          <w:sz w:val="20"/>
          <w:u w:val="single"/>
        </w:rPr>
        <w:t>Article Five</w:t>
      </w:r>
      <w:r>
        <w:rPr>
          <w:rFonts w:ascii="Times New Roman" w:hAnsi="Times New Roman"/>
          <w:sz w:val="20"/>
        </w:rPr>
        <w:t xml:space="preserve"> (or any other provision specified in the applicable supplemental indenture or Authorizing Resolution)) the Company does not cure the Default within 60 days after receipt of the notice. The notice must specify the Default, demand that it be remedied and state that the notice is a “Notice of Default.” If such a Default is cured within such time period, it ceases to exist, without any action by the Trustee or any other Person.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sz w:val="20"/>
        </w:rPr>
        <w:t>Custodian</w:t>
      </w:r>
      <w:r>
        <w:rPr>
          <w:rFonts w:ascii="Times New Roman" w:hAnsi="Times New Roman"/>
          <w:sz w:val="20"/>
        </w:rPr>
        <w:t xml:space="preserve">” means any receiver, trustee, assignee, liquidator, custodian or similar official under any Bankruptcy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6.02 </w:t>
      </w:r>
      <w:r>
        <w:rPr>
          <w:rFonts w:ascii="Times New Roman" w:hAnsi="Times New Roman"/>
          <w:b/>
          <w:sz w:val="20"/>
          <w:u w:val="single"/>
        </w:rPr>
        <w:t>Acceleration.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(other than an Event of Default with respect to the Company resulting from </w:t>
      </w:r>
      <w:r>
        <w:rPr>
          <w:rFonts w:ascii="Times New Roman" w:hAnsi="Times New Roman"/>
          <w:sz w:val="20"/>
          <w:u w:val="single"/>
        </w:rPr>
        <w:t>subclause (4)</w:t>
      </w:r>
      <w:r>
        <w:rPr>
          <w:rFonts w:ascii="Times New Roman" w:hAnsi="Times New Roman"/>
          <w:sz w:val="20"/>
        </w:rPr>
        <w:t xml:space="preserve"> or </w:t>
      </w:r>
      <w:r>
        <w:rPr>
          <w:rFonts w:ascii="Times New Roman" w:hAnsi="Times New Roman"/>
          <w:sz w:val="20"/>
          <w:u w:val="single"/>
        </w:rPr>
        <w:t>(5)</w:t>
      </w:r>
      <w:r>
        <w:rPr>
          <w:rFonts w:ascii="Times New Roman" w:hAnsi="Times New Roman"/>
          <w:sz w:val="20"/>
        </w:rPr>
        <w:t xml:space="preserve"> above) shall have occurred and be continuing under the Indenture, the Trustee by notice to the Company, or the Holders of at least 25 percent in principal amount of the Securities of the applicable Series then outstanding by notice to the Company and the Trustee, may declare all Securities of such Series to be due and payable immediately. Upon such declaration of acceleration, the amounts due and payable on the Securities of such Series will be due and payable immediately. If an Event of Default with respect to the Company specified in </w:t>
      </w:r>
      <w:r>
        <w:rPr>
          <w:rFonts w:ascii="Times New Roman" w:hAnsi="Times New Roman"/>
          <w:sz w:val="20"/>
          <w:u w:val="single"/>
        </w:rPr>
        <w:t>subclauses (4)</w:t>
      </w:r>
      <w:r>
        <w:rPr>
          <w:rFonts w:ascii="Times New Roman" w:hAnsi="Times New Roman"/>
          <w:sz w:val="20"/>
        </w:rPr>
        <w:t xml:space="preserve"> or </w:t>
      </w:r>
      <w:r>
        <w:rPr>
          <w:rFonts w:ascii="Times New Roman" w:hAnsi="Times New Roman"/>
          <w:sz w:val="20"/>
          <w:u w:val="single"/>
        </w:rPr>
        <w:t>(5)</w:t>
      </w:r>
      <w:r>
        <w:rPr>
          <w:rFonts w:ascii="Times New Roman" w:hAnsi="Times New Roman"/>
          <w:sz w:val="20"/>
        </w:rPr>
        <w:t xml:space="preserve"> above occurs, all amounts due and payable on the Securities of such Series will ipso facto become and be immediately due and payable without any declaration, notice or other act on the part of the Trustee and the Company or any Holder.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principal amount of the then outstanding Securities of such Series may rescind an acceleration with respect to such Series and its consequences (except an acceleration due to nonpayment of principal or interest) if the rescission would not conflict with any judgment or decree and if all existing Events of Default (other than the non-payment of accelerated principal)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extend to or shall affect any subsequent Event of Default, or shall impair any right or power consequent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6.03 </w:t>
      </w:r>
      <w:r>
        <w:rPr>
          <w:rFonts w:ascii="Times New Roman" w:hAnsi="Times New Roman"/>
          <w:b/>
          <w:sz w:val="20"/>
          <w:u w:val="single"/>
        </w:rPr>
        <w:t>Other Remedies.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on a Series occurs and is continuing, the Trustee may pursue any available remedy by proceeding at law or in equity to collect the payment of principal of or interest on the Series or to enforce the performance of any provision in the Securities or this Indenture applicable to the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Securities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6.04 </w:t>
      </w:r>
      <w:r>
        <w:rPr>
          <w:rFonts w:ascii="Times New Roman" w:hAnsi="Times New Roman"/>
          <w:b/>
          <w:sz w:val="20"/>
          <w:u w:val="single"/>
        </w:rPr>
        <w:t>Waiver of Existing Defaults.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10.02</w:t>
      </w:r>
      <w:r>
        <w:rPr>
          <w:rFonts w:ascii="Times New Roman" w:hAnsi="Times New Roman"/>
          <w:sz w:val="20"/>
        </w:rPr>
        <w:t xml:space="preserve">, the Holders of a majority in principal amount of the outstanding Securities of a Series on behalf of all the Holders of the Series by notice to the Trustee may waive an existing Default on such Series and its consequences. When a Default is waived, it is cured and stops continuing, and any Event of Default arising therefrom shall be deemed to have been cured; but no such waiver shall extend to any subsequent or other Default or impair any right consequent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6.05 </w:t>
      </w:r>
      <w:r>
        <w:rPr>
          <w:rFonts w:ascii="Times New Roman" w:hAnsi="Times New Roman"/>
          <w:b/>
          <w:sz w:val="20"/>
          <w:u w:val="single"/>
        </w:rPr>
        <w:t>Control by Majority.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outstanding Securities of a Series may direct the time, method and place of conducting any proceeding for any remedy available to the Trustee or exercising any trust or power conferred on it with respect to such Series. The Trustee, however, may refuse to follow any direction (i) that conflicts with law or this Indenture, (ii) that, subject to </w:t>
      </w:r>
      <w:r>
        <w:rPr>
          <w:rFonts w:ascii="Times New Roman" w:hAnsi="Times New Roman"/>
          <w:sz w:val="20"/>
          <w:u w:val="single"/>
        </w:rPr>
        <w:t>Section 7.01</w:t>
      </w:r>
      <w:r>
        <w:rPr>
          <w:rFonts w:ascii="Times New Roman" w:hAnsi="Times New Roman"/>
          <w:sz w:val="20"/>
        </w:rPr>
        <w:t xml:space="preserve">, the Trustee determines is unduly prejudicial to the rights of other Securityholders, (iii) that would involve the Trustee in personal liability, if there shall be reasonable grounds for believing that adequate indemnity against such liability is not reasonably assured to it, or (iv) if the Trustee shall not have been provided with indemnity satisfactory to it.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6.06 </w:t>
      </w:r>
      <w:r>
        <w:rPr>
          <w:rFonts w:ascii="Times New Roman" w:hAnsi="Times New Roman"/>
          <w:b/>
          <w:sz w:val="20"/>
          <w:u w:val="single"/>
        </w:rPr>
        <w:t>Limitation on Suits.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Securityholder of a Series may not pursue any remedy with respect to this Indenture or the Securities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to the Trustee written notice of a continuing Event of Default on the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outstanding Securities of the Series make a written request to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offer to the Trustee indemnity satisfactory to the Trustee against any loss,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written request inconsistent with such written request shall have been given to the Trustee pursuant to this </w:t>
            </w:r>
            <w:r>
              <w:rPr>
                <w:rFonts w:ascii="Times New Roman" w:hAnsi="Times New Roman"/>
                <w:sz w:val="20"/>
                <w:u w:val="single"/>
              </w:rPr>
              <w:t>Section 6.06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Securityholder may not use this Indenture to prejudice the rights of another Holder of Securities of the same Series or to obtain a preference or priority over another Holder of Securities of the same Series (it being understood that the Trustee does not have an affirmative duty to ascertain whether or not such actions or forbearances by such Holder are unduly prejudicial to another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6.07 </w:t>
      </w:r>
      <w:r>
        <w:rPr>
          <w:rFonts w:ascii="Times New Roman" w:hAnsi="Times New Roman"/>
          <w:b/>
          <w:sz w:val="20"/>
          <w:u w:val="single"/>
        </w:rPr>
        <w:t>Rights of Holders to Receive Payment and Convert.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Indenture, the right of any Holder to receive payment of principal of, premium, if any, and interest on any Security, on or after the respective due dates expressed in the Security, or to bring suit for the enforcement of any such payment on or after such respective dates, is absolute and unconditional and shall not be impaired or affected without the consent of the Holder. Notwithstanding anything to the contrary in this Indenture or the Securities, the right of any Holder of Securities to convert such Securities in accordance with this Indenture, or to bring suit for the enforcement of such right, shall not be impaired or affected without the consent of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6.08 </w:t>
      </w:r>
      <w:r>
        <w:rPr>
          <w:rFonts w:ascii="Times New Roman" w:hAnsi="Times New Roman"/>
          <w:b/>
          <w:sz w:val="20"/>
          <w:u w:val="single"/>
        </w:rPr>
        <w:t>Collection Suit by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in payment of interest or principal specified in </w:t>
      </w:r>
      <w:r>
        <w:rPr>
          <w:rFonts w:ascii="Times New Roman" w:hAnsi="Times New Roman"/>
          <w:sz w:val="20"/>
          <w:u w:val="single"/>
        </w:rPr>
        <w:t>Section 6.01(1)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occurs and is continuing, the Trustee may recover judgment in its own name and as trustee of an express trust against the Company for the whole amount of principal and interest remaining unpaid.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6.09 </w:t>
      </w:r>
      <w:r>
        <w:rPr>
          <w:rFonts w:ascii="Times New Roman" w:hAnsi="Times New Roman"/>
          <w:b/>
          <w:sz w:val="20"/>
          <w:u w:val="single"/>
        </w:rPr>
        <w:t>Trustee May File Proofs of Claim.</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its creditors or Property, and unless prohibited by applicable law or regulation, may vote on behalf of the Holders in any election of a Custodian, and shall be entitled and empowered to collect and receive any moneys or other Property payable or deliverable on any such claims and to distribute the same and any Custodian in any such judicial proceeding is hereby authorized by each Securityholder to make such payments to the Trustee. Nothing herein shall be deemed to authorize the Trustee to authorize or consent to or vote for or accept or adopt on behalf of any Securityholder any plan of reorganization, arrangement, adjustment or composition affecting the Securities or the rights of any Holder or to authorize the Trustee to vote in respect of the claim of any Securityholder except as aforesaid for the election of the Custodian.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6.10 </w:t>
      </w:r>
      <w:r>
        <w:rPr>
          <w:rFonts w:ascii="Times New Roman" w:hAnsi="Times New Roman"/>
          <w:b/>
          <w:sz w:val="20"/>
          <w:u w:val="single"/>
        </w:rPr>
        <w:t>Priorities.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collects any money pursuant to this Article with respect to Securities of any Series, it shall pay out the money in the following order: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i/>
              </w:rPr>
            </w:pPr>
            <w:r>
              <w:rPr>
                <w:i/>
              </w:rPr>
              <w:t>First:</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Trustee for amounts due under </w:t>
            </w:r>
            <w:r>
              <w:rPr>
                <w:rFonts w:ascii="Times New Roman" w:hAnsi="Times New Roman"/>
                <w:sz w:val="20"/>
                <w:u w:val="single"/>
              </w:rPr>
              <w:t>Section 7.07;</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i/>
              </w:rPr>
            </w:pPr>
            <w:r>
              <w:rPr>
                <w:i/>
              </w:rPr>
              <w:t>Second:</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Securityholders of the Series for amounts due and unpaid on the Series for principal and interest, ratably, without preference or priority of any kind, according to the amounts due and payable on the Series for principal and interest,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i/>
              </w:rPr>
            </w:pPr>
            <w:r>
              <w:rPr>
                <w:i/>
              </w:rPr>
              <w:t>Third:</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or as a court of competent jurisdiction shall direct.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fix a record date and payment date for any payment to Securityholders pursuant to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6.11 </w:t>
      </w:r>
      <w:r>
        <w:rPr>
          <w:rFonts w:ascii="Times New Roman" w:hAnsi="Times New Roman"/>
          <w:b/>
          <w:sz w:val="20"/>
          <w:u w:val="single"/>
        </w:rPr>
        <w:t>Undertaking for Costs.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pursuant to </w:t>
      </w:r>
      <w:r>
        <w:rPr>
          <w:rFonts w:ascii="Times New Roman" w:hAnsi="Times New Roman"/>
          <w:sz w:val="20"/>
          <w:u w:val="single"/>
        </w:rPr>
        <w:t>Section 6.07</w:t>
      </w:r>
      <w:r>
        <w:rPr>
          <w:rFonts w:ascii="Times New Roman" w:hAnsi="Times New Roman"/>
          <w:sz w:val="20"/>
        </w:rPr>
        <w:t xml:space="preserve"> or a suit by Holders of more than 10% in principal amount of the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SEVEN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w:t>
      </w:r>
      <w:r>
        <w:rPr>
          <w:rFonts w:ascii="Times New Roman" w:hAnsi="Times New Roman"/>
          <w:b/>
          <w:sz w:val="20"/>
          <w:u w:val="single"/>
        </w:rPr>
        <w:t>Duties of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with respect to Securities of any Series, the Trustee shall, prior to the receipt of directions from the Holders of a majority in principal amount of the Securities of the Series, exercise its rights and powers and use the same degree of care and skill in their exercise as a prudent man would exercise or use under the circumstances in the conduct of his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The Trustee need perform only those duties that are specifically set forth in this Indenture and no others and no implied covenants or obligations shall be read into this Indenture against the Trustee. </w:t>
      </w:r>
    </w:p>
    <w:p>
      <w:pPr>
        <w:pStyle w:val="TextBody"/>
        <w:bidi w:val="0"/>
        <w:spacing w:before="120" w:after="0"/>
        <w:jc w:val="left"/>
        <w:rPr>
          <w:rFonts w:ascii="Times New Roman" w:hAnsi="Times New Roman"/>
          <w:sz w:val="20"/>
        </w:rPr>
      </w:pPr>
      <w:r>
        <w:rPr>
          <w:rFonts w:ascii="Times New Roman" w:hAnsi="Times New Roman"/>
          <w:sz w:val="20"/>
        </w:rPr>
        <w:t xml:space="preserve">(2) 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in the case of certificates or opinions specifically required by any provision hereof to be furnished to it, shall examine the certificates and opinions to determine whether or not they conform to the requirements of this Indenture but need not confirm or investigate the accuracy of mathematical calculations or other facts or matters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(1) This paragraph does not limit the effect of </w:t>
      </w:r>
      <w:r>
        <w:rPr>
          <w:rFonts w:ascii="Times New Roman" w:hAnsi="Times New Roman"/>
          <w:sz w:val="20"/>
          <w:u w:val="single"/>
        </w:rPr>
        <w:t>paragraph (b)</w:t>
      </w:r>
      <w:r>
        <w:rPr>
          <w:rFonts w:ascii="Times New Roman" w:hAnsi="Times New Roman"/>
          <w:sz w:val="20"/>
        </w:rPr>
        <w:t xml:space="preserv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Trust Officer,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not be liable with respect to any action it takes or omits to take in good faith in accordance with a direction received by it pursuant to </w:t>
      </w:r>
      <w:r>
        <w:rPr>
          <w:rFonts w:ascii="Times New Roman" w:hAnsi="Times New Roman"/>
          <w:sz w:val="20"/>
          <w:u w:val="single"/>
        </w:rPr>
        <w:t>Section 6.05</w:t>
      </w:r>
      <w:r>
        <w:rPr>
          <w:rFonts w:ascii="Times New Roman" w:hAnsi="Times New Roman"/>
          <w:sz w:val="20"/>
        </w:rPr>
        <w:t xml:space="preserve"> or any other direction of the Holders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w:t>
      </w:r>
      <w:r>
        <w:rPr>
          <w:rFonts w:ascii="Times New Roman" w:hAnsi="Times New Roman"/>
          <w:sz w:val="20"/>
          <w:u w:val="single"/>
        </w:rPr>
        <w:t>paragraphs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any loss, liability or expense.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with the Company. Money held in trust by the Trustee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None of the provisions contained in this Indenture shall require the Trustee to expend or risk its own funds or otherwise incur financial liability in the performance of any of its duties or in the exercise of any of its rights or powers, if there shall be reasonable grounds for believing that the repayment of such funds or adequate indemnity against such liability is not reasonably assured to it.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7.02 </w:t>
      </w:r>
      <w:r>
        <w:rPr>
          <w:rFonts w:ascii="Times New Roman" w:hAnsi="Times New Roman"/>
          <w:b/>
          <w:sz w:val="20"/>
          <w:u w:val="single"/>
        </w:rPr>
        <w:t>Rights of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7.01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and shall be fully protected in acting or refraining from acting on any document, resolution, certificate, instrument, report, or direction believed by it to be genuine and to have been signed or presented by the proper person. The Trustee need not investigate any fact or matter stated in the document, resolution, certificate, instrument, report, or direction.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which shall conform to </w:t>
      </w:r>
      <w:r>
        <w:rPr>
          <w:rFonts w:ascii="Times New Roman" w:hAnsi="Times New Roman"/>
          <w:sz w:val="20"/>
          <w:u w:val="single"/>
        </w:rPr>
        <w:t>Sections 12.04</w:t>
      </w:r>
      <w:r>
        <w:rPr>
          <w:rFonts w:ascii="Times New Roman" w:hAnsi="Times New Roman"/>
          <w:sz w:val="20"/>
        </w:rPr>
        <w:t xml:space="preserve"> and </w:t>
      </w:r>
      <w:r>
        <w:rPr>
          <w:rFonts w:ascii="Times New Roman" w:hAnsi="Times New Roman"/>
          <w:sz w:val="20"/>
          <w:u w:val="single"/>
        </w:rPr>
        <w:t>12.05</w:t>
      </w:r>
      <w:r>
        <w:rPr>
          <w:rFonts w:ascii="Times New Roman" w:hAnsi="Times New Roman"/>
          <w:sz w:val="20"/>
        </w:rPr>
        <w:t xml:space="preserve"> hereof and containing such other statements as the Trustee reasonably deems necessary to perform its duties hereunder. The Trustee shall not be liable for any action it takes or omits to take in good faith in reliance on the Officers’ Certificate, Opinion of Counsel or any other direction of the Company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taken, suffered or omitted by it in good faith and believed by it to be authorized or within the discretion or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of its selection, and the advice of such counsel or any Opinion of Counsel as to matters of law shall be full and complete authorization and protection in respect of any action taken, omitted or suffered by it hereunder in good faith and in accordance with the advice or opinion of such counsel. </w:t>
      </w:r>
    </w:p>
    <w:p>
      <w:pPr>
        <w:pStyle w:val="TextBody"/>
        <w:bidi w:val="0"/>
        <w:spacing w:before="120" w:after="0"/>
        <w:jc w:val="left"/>
        <w:rPr>
          <w:rFonts w:ascii="Times New Roman" w:hAnsi="Times New Roman"/>
          <w:sz w:val="20"/>
        </w:rPr>
      </w:pPr>
      <w:r>
        <w:rPr>
          <w:rFonts w:ascii="Times New Roman" w:hAnsi="Times New Roman"/>
          <w:sz w:val="20"/>
        </w:rPr>
        <w:t xml:space="preserve">(f) Unless otherwise specifically provided in the Indenture, any demand, request, direction or notice from the Company shall be sufficient if signed by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(g) For all purposes under this Indenture, the Trustee shall not be deemed to have notice or knowledge of any Event of Default unless written notice of any Event of Default is received by the Trustee at its address specified in </w:t>
      </w:r>
      <w:r>
        <w:rPr>
          <w:rFonts w:ascii="Times New Roman" w:hAnsi="Times New Roman"/>
          <w:sz w:val="20"/>
          <w:u w:val="single"/>
        </w:rPr>
        <w:t>Section 12.02</w:t>
      </w:r>
      <w:r>
        <w:rPr>
          <w:rFonts w:ascii="Times New Roman" w:hAnsi="Times New Roman"/>
          <w:sz w:val="20"/>
        </w:rPr>
        <w:t xml:space="preserve"> hereof and such notice references the Securities generally, the Company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(j)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(l) The Trustee may request that the Company deliver a certificate setting forth the names of individuals and/or titles of officers authorized at such time to take specified actions pursuant to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(m)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7.03 </w:t>
      </w:r>
      <w:r>
        <w:rPr>
          <w:rFonts w:ascii="Times New Roman" w:hAnsi="Times New Roman"/>
          <w:b/>
          <w:sz w:val="20"/>
          <w:u w:val="single"/>
        </w:rPr>
        <w:t>Individual Rights of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its affiliates with the same rights it would have if it were not Trustee. Any Agent may do the same with like rights. The Trustee, however, must comply with </w:t>
      </w:r>
      <w:r>
        <w:rPr>
          <w:rFonts w:ascii="Times New Roman" w:hAnsi="Times New Roman"/>
          <w:sz w:val="20"/>
          <w:u w:val="single"/>
        </w:rPr>
        <w:t>Sections 7.10</w:t>
      </w:r>
      <w:r>
        <w:rPr>
          <w:rFonts w:ascii="Times New Roman" w:hAnsi="Times New Roman"/>
          <w:sz w:val="20"/>
        </w:rPr>
        <w:t xml:space="preserve"> and </w:t>
      </w:r>
      <w:r>
        <w:rPr>
          <w:rFonts w:ascii="Times New Roman" w:hAnsi="Times New Roman"/>
          <w:sz w:val="20"/>
          <w:u w:val="single"/>
        </w:rPr>
        <w:t>7.11</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7.04 </w:t>
      </w:r>
      <w:r>
        <w:rPr>
          <w:rFonts w:ascii="Times New Roman" w:hAnsi="Times New Roman"/>
          <w:b/>
          <w:sz w:val="20"/>
          <w:u w:val="single"/>
        </w:rPr>
        <w:t>Trustee’s Disclaimer.</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the Securities or of any prospectus used to sell the Securities of any Series; it shall not be accountable for the Company’s use of the proceeds from the Securities; it shall not be accountable for any money paid to the Company, or upon the Company’s direction, if made under and in accordance with any provision of this Indenture; it shall not be responsible for the use or application of any money received by any Paying Agent other than the Trustee; and it shall not be responsible for any statement of the Company in this Indenture or in the Securities other than its certificate of authentication.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7.05 </w:t>
      </w:r>
      <w:r>
        <w:rPr>
          <w:rFonts w:ascii="Times New Roman" w:hAnsi="Times New Roman"/>
          <w:b/>
          <w:sz w:val="20"/>
          <w:u w:val="single"/>
        </w:rPr>
        <w:t>Notice of Defaults.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Default on a Series occurs and is continuing and if it is known to the Trustee, the Trustee shall deliver to each Securityholder of the Series notice of the Default (which shall specify any uncured Default known to it) within 90 days after the Trustee obtains such knowledge. Except in the case of a default in payment of principal of or interest on a Series, the Trustee may withhold the notice if and so long as the board of directors of the Trustee, the executive or any trust committee of such directors and/or responsible officers of the Trustee in good faith determine(s) that withholding the notice is in the interests of Holders of the Series.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7.06 </w:t>
      </w:r>
      <w:r>
        <w:rPr>
          <w:rFonts w:ascii="Times New Roman" w:hAnsi="Times New Roman"/>
          <w:b/>
          <w:sz w:val="20"/>
          <w:u w:val="single"/>
        </w:rPr>
        <w:t>Reports by Trustee to Holders.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Within 60 days after each May 15 beginning with the May 15 following the date of this Base Indenture, the Trustee shall mail to each Securityholder a brief report dated as of such May 15 that complies with TIA § 313(a) (but if no event described in TIA § 313(1) through (8) has occurred within the twelve months preceding the reporting date no report in relation thereto need be transmitted). The Trustee also shall comply with TIA § 313(b).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Securityholders shall be delivered to the Company and filed by the Trustee with the SEC and each national securities exchange on which the Securities are listed. The Company agrees to notify the Trustee of each national securities exchange on which the Securities are listed.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7.07 </w:t>
      </w:r>
      <w:r>
        <w:rPr>
          <w:rFonts w:ascii="Times New Roman" w:hAnsi="Times New Roman"/>
          <w:b/>
          <w:sz w:val="20"/>
          <w:u w:val="single"/>
        </w:rPr>
        <w:t>Compensation and Indemnity.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to the Trustee from time to time reasonable compensation for its services subject to any written agreement between the Trustee and the Company (which compensation shall not be limited by any provision of law in regard to the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the Trustee, its officers, directors, employees and agents and hold it harmless against any loss, liability or expense incurred or made by or on behalf of it in connection with the administration of this Indenture or the trust hereunder and its duties hereunder including the costs and expenses of defending itself against or investigating any claim in the premises. The Trustee shall notify the Company promptly of any claim of which it has received written notice and for which it may seek indemnity. The Company need not reimburse any expense or indemnify against any loss or liability incurred by the Trustee through the Trustee’s, or its officers’, directors’, or employees’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any supplemental indenture or Authorizing Resolution relating to any Series, to ensure the Company’s payment obligations in this Section, the Trustee shall have a claim prior to the Securities of all Series on all money or Property held or collected by the Trustee, except that held in trust to pay principal of or interest on particular Securities. When the Trustee incurs expenses or renders services in connection with an Event of Default specified in </w:t>
      </w:r>
      <w:r>
        <w:rPr>
          <w:rFonts w:ascii="Times New Roman" w:hAnsi="Times New Roman"/>
          <w:sz w:val="20"/>
          <w:u w:val="single"/>
        </w:rPr>
        <w:t>Section 6.01</w:t>
      </w:r>
      <w:r>
        <w:rPr>
          <w:rFonts w:ascii="Times New Roman" w:hAnsi="Times New Roman"/>
          <w:sz w:val="20"/>
        </w:rPr>
        <w:t xml:space="preserve"> or in connection with </w:t>
      </w:r>
      <w:r>
        <w:rPr>
          <w:rFonts w:ascii="Times New Roman" w:hAnsi="Times New Roman"/>
          <w:sz w:val="20"/>
          <w:u w:val="single"/>
        </w:rPr>
        <w:t>Article Six</w:t>
      </w:r>
      <w:r>
        <w:rPr>
          <w:rFonts w:ascii="Times New Roman" w:hAnsi="Times New Roman"/>
          <w:sz w:val="20"/>
        </w:rPr>
        <w:t xml:space="preserve"> hereof, the expenses (including the reasonable fees and expenses of its counsel) and the compensation for services in connection therewith are to constitute expenses of administration under any Bankruptcy Law. Section 7.07 shall survive the discharge of the Indenture or resignation of Trustee.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7.08 </w:t>
      </w:r>
      <w:r>
        <w:rPr>
          <w:rFonts w:ascii="Times New Roman" w:hAnsi="Times New Roman"/>
          <w:b/>
          <w:sz w:val="20"/>
          <w:u w:val="single"/>
        </w:rPr>
        <w:t>Replacement of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with respect to Securities of any or all Series by so notifying the Company. The Holders of a majority in principal amount of the outstanding Securities (or of the relevant Series) may remove the Trustee by so notifying the removed Trustee in writing and may appoint a successor trustee with the Company’s consent. Such resignation or removal shall not take effect until the appointment by the Securityholders of the relevant Series or the Company as hereinafter provided of a successor trustee and the acceptance of such appointment by such successor trustee. The Company may remove the Trustee and any Securityholder may petition any court of competent jurisdiction for the removal of the Trustee and the appointment of a successor trustee for any or no reason, including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fails to comply with </w:t>
            </w:r>
            <w:r>
              <w:rPr>
                <w:rFonts w:ascii="Times New Roman" w:hAnsi="Times New Roman"/>
                <w:sz w:val="20"/>
                <w:u w:val="single"/>
              </w:rPr>
              <w:t>Section 7.10</w:t>
            </w:r>
            <w:r>
              <w:rPr>
                <w:rFonts w:ascii="Times New Roman" w:hAnsi="Times New Roman"/>
                <w:sz w:val="20"/>
              </w:rPr>
              <w:t xml:space="preserve"> after written request by the Company or any bona fide Securityholder who has been a Securityholder for at least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is adjudged a bankrupt or an insolvent;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receiver or other public officer takes charge of the Trustee or its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becomes incapable of acting.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 respect to the Securities of the relevant Series. If a successor trustee does not take office within 30 days after the retiring Trustee resigns or is removed, the retiring Trustee at the expense of the Company, the Company or any Holder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upon payment of its charges hereunder,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Securityholder.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7.09 </w:t>
      </w:r>
      <w:r>
        <w:rPr>
          <w:rFonts w:ascii="Times New Roman" w:hAnsi="Times New Roman"/>
          <w:b/>
          <w:sz w:val="20"/>
          <w:u w:val="single"/>
        </w:rPr>
        <w:t>Successor Trustee by Merger, etc.</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consolidates with, merges with or into or converts into, or transfers all or substantially all of its corporate trust business to, another corporation, the successor corporation without any further act shall be the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7.10 </w:t>
      </w:r>
      <w:r>
        <w:rPr>
          <w:rFonts w:ascii="Times New Roman" w:hAnsi="Times New Roman"/>
          <w:b/>
          <w:sz w:val="20"/>
          <w:u w:val="single"/>
        </w:rPr>
        <w:t>Eligibility; Disqualification.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The Trustee shall have a combined capital and surplus of at least $10,000,000 as set forth in its most recent published annual report of condition. The Trustee shall comply with TIA § 310(b).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w:t>
      </w:r>
      <w:r>
        <w:rPr>
          <w:rFonts w:ascii="Times New Roman" w:hAnsi="Times New Roman"/>
          <w:b/>
          <w:sz w:val="20"/>
          <w:u w:val="single"/>
        </w:rPr>
        <w:t>Preferential Collection of Claims Against 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comply with TIA § 311(a), excluding any creditor relationship listed in TIA § 311(b). A Trustee who has resigned or been removed shall be subject to TIA § 311(a) to the extent indicated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EIGHT </w:t>
      </w:r>
    </w:p>
    <w:p>
      <w:pPr>
        <w:pStyle w:val="TextBody"/>
        <w:bidi w:val="0"/>
        <w:spacing w:before="0" w:after="0"/>
        <w:jc w:val="center"/>
        <w:rPr>
          <w:rFonts w:ascii="Times New Roman" w:hAnsi="Times New Roman"/>
          <w:b/>
          <w:sz w:val="20"/>
        </w:rPr>
      </w:pPr>
      <w:r>
        <w:rPr>
          <w:rFonts w:ascii="Times New Roman" w:hAnsi="Times New Roman"/>
          <w:b/>
          <w:sz w:val="20"/>
        </w:rPr>
        <w:t xml:space="preserve">DISCHARGE OF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w:t>
      </w:r>
      <w:r>
        <w:rPr>
          <w:rFonts w:ascii="Times New Roman" w:hAnsi="Times New Roman"/>
          <w:b/>
          <w:sz w:val="20"/>
          <w:u w:val="single"/>
        </w:rPr>
        <w:t>Defeasance upon Deposit of Moneys or Government Obligations.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may, at its option and at any time, elect to have either </w:t>
      </w:r>
      <w:r>
        <w:rPr>
          <w:rFonts w:ascii="Times New Roman" w:hAnsi="Times New Roman"/>
          <w:sz w:val="20"/>
          <w:u w:val="single"/>
        </w:rPr>
        <w:t>paragraph (b)</w:t>
      </w:r>
      <w:r>
        <w:rPr>
          <w:rFonts w:ascii="Times New Roman" w:hAnsi="Times New Roman"/>
          <w:sz w:val="20"/>
        </w:rPr>
        <w:t xml:space="preserve"> or </w:t>
      </w:r>
      <w:r>
        <w:rPr>
          <w:rFonts w:ascii="Times New Roman" w:hAnsi="Times New Roman"/>
          <w:sz w:val="20"/>
          <w:u w:val="single"/>
        </w:rPr>
        <w:t>paragraph (c)</w:t>
      </w:r>
      <w:r>
        <w:rPr>
          <w:rFonts w:ascii="Times New Roman" w:hAnsi="Times New Roman"/>
          <w:sz w:val="20"/>
        </w:rPr>
        <w:t xml:space="preserve"> below be applied to the outstanding Securities of any Series upon compliance with the applicable conditions set forth in </w:t>
      </w:r>
      <w:r>
        <w:rPr>
          <w:rFonts w:ascii="Times New Roman" w:hAnsi="Times New Roman"/>
          <w:sz w:val="20"/>
          <w:u w:val="single"/>
        </w:rPr>
        <w:t>paragraph (d)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Upon the Company’s exercise under </w:t>
      </w:r>
      <w:r>
        <w:rPr>
          <w:rFonts w:ascii="Times New Roman" w:hAnsi="Times New Roman"/>
          <w:sz w:val="20"/>
          <w:u w:val="single"/>
        </w:rPr>
        <w:t>paragraph (a)</w:t>
      </w:r>
      <w:r>
        <w:rPr>
          <w:rFonts w:ascii="Times New Roman" w:hAnsi="Times New Roman"/>
          <w:sz w:val="20"/>
        </w:rPr>
        <w:t xml:space="preserve"> of the option applicable to this </w:t>
      </w:r>
      <w:r>
        <w:rPr>
          <w:rFonts w:ascii="Times New Roman" w:hAnsi="Times New Roman"/>
          <w:sz w:val="20"/>
          <w:u w:val="single"/>
        </w:rPr>
        <w:t>paragraph (b)</w:t>
      </w:r>
      <w:r>
        <w:rPr>
          <w:rFonts w:ascii="Times New Roman" w:hAnsi="Times New Roman"/>
          <w:sz w:val="20"/>
        </w:rPr>
        <w:t> with respect to any Series, the Company shall be deemed to have been released and discharged from its obligations with respect to the outstanding Securities of the Series on the date the applicable conditions set forth below are satisfied (hereinafter, “</w:t>
      </w:r>
      <w:r>
        <w:rPr>
          <w:rFonts w:ascii="Times New Roman" w:hAnsi="Times New Roman"/>
          <w:b/>
          <w:sz w:val="20"/>
        </w:rPr>
        <w:t>Legal Defeasance</w:t>
      </w:r>
      <w:r>
        <w:rPr>
          <w:rFonts w:ascii="Times New Roman" w:hAnsi="Times New Roman"/>
          <w:sz w:val="20"/>
        </w:rPr>
        <w:t xml:space="preserve">”). For this purpose, such Legal Defeasance means that the Company shall be deemed to have paid and discharged the entire indebtedness represented by the outstanding Securities of a Series, which shall thereafter be deemed to be “outstanding” only for the purposes of the Sections and matters under this Indenture referred to in (i) and (ii) below, and the Company shall be deemed to have satisfied all its other obligations under such Securities and this Indenture insofar as such Securities are concerned, except for the following which shall survive until otherwise terminated or discharged hereunder: (i) the rights of Holders of outstanding Securities of a Series to receive solely from the trust fund described in </w:t>
      </w:r>
      <w:r>
        <w:rPr>
          <w:rFonts w:ascii="Times New Roman" w:hAnsi="Times New Roman"/>
          <w:sz w:val="20"/>
          <w:u w:val="single"/>
        </w:rPr>
        <w:t>paragraph (d)</w:t>
      </w:r>
      <w:r>
        <w:rPr>
          <w:rFonts w:ascii="Times New Roman" w:hAnsi="Times New Roman"/>
          <w:sz w:val="20"/>
        </w:rPr>
        <w:t xml:space="preserve"> below and as more fully set forth in such paragraph, payments in respect of the principal of and interest on such Securities when such payments are due and (ii) obligations listed in </w:t>
      </w:r>
      <w:r>
        <w:rPr>
          <w:rFonts w:ascii="Times New Roman" w:hAnsi="Times New Roman"/>
          <w:sz w:val="20"/>
          <w:u w:val="single"/>
        </w:rPr>
        <w:t>Section 8.02</w:t>
      </w:r>
      <w:r>
        <w:rPr>
          <w:rFonts w:ascii="Times New Roman" w:hAnsi="Times New Roman"/>
          <w:sz w:val="20"/>
        </w:rPr>
        <w:t xml:space="preserve">, subject to compliance with this </w:t>
      </w:r>
      <w:r>
        <w:rPr>
          <w:rFonts w:ascii="Times New Roman" w:hAnsi="Times New Roman"/>
          <w:sz w:val="20"/>
          <w:u w:val="single"/>
        </w:rPr>
        <w:t>Section 8.01</w:t>
      </w:r>
      <w:r>
        <w:rPr>
          <w:rFonts w:ascii="Times New Roman" w:hAnsi="Times New Roman"/>
          <w:sz w:val="20"/>
        </w:rPr>
        <w:t xml:space="preserve">. The Company may exercise its option under this </w:t>
      </w:r>
      <w:r>
        <w:rPr>
          <w:rFonts w:ascii="Times New Roman" w:hAnsi="Times New Roman"/>
          <w:sz w:val="20"/>
          <w:u w:val="single"/>
        </w:rPr>
        <w:t>paragraph (b)</w:t>
      </w:r>
      <w:r>
        <w:rPr>
          <w:rFonts w:ascii="Times New Roman" w:hAnsi="Times New Roman"/>
          <w:sz w:val="20"/>
        </w:rPr>
        <w:t xml:space="preserve"> with respect to a Series notwithstanding the prior exercise of its option under </w:t>
      </w:r>
      <w:r>
        <w:rPr>
          <w:rFonts w:ascii="Times New Roman" w:hAnsi="Times New Roman"/>
          <w:sz w:val="20"/>
          <w:u w:val="single"/>
        </w:rPr>
        <w:t>paragraph (c)</w:t>
      </w:r>
      <w:r>
        <w:rPr>
          <w:rFonts w:ascii="Times New Roman" w:hAnsi="Times New Roman"/>
          <w:sz w:val="20"/>
        </w:rPr>
        <w:t xml:space="preserve"> below with respect to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(c) Upon the Company’s exercise under </w:t>
      </w:r>
      <w:r>
        <w:rPr>
          <w:rFonts w:ascii="Times New Roman" w:hAnsi="Times New Roman"/>
          <w:sz w:val="20"/>
          <w:u w:val="single"/>
        </w:rPr>
        <w:t>paragraph (a)</w:t>
      </w:r>
      <w:r>
        <w:rPr>
          <w:rFonts w:ascii="Times New Roman" w:hAnsi="Times New Roman"/>
          <w:sz w:val="20"/>
        </w:rPr>
        <w:t xml:space="preserve"> of the option applicable to this </w:t>
      </w:r>
      <w:r>
        <w:rPr>
          <w:rFonts w:ascii="Times New Roman" w:hAnsi="Times New Roman"/>
          <w:sz w:val="20"/>
          <w:u w:val="single"/>
        </w:rPr>
        <w:t>paragraph (c)</w:t>
      </w:r>
      <w:r>
        <w:rPr>
          <w:rFonts w:ascii="Times New Roman" w:hAnsi="Times New Roman"/>
          <w:sz w:val="20"/>
        </w:rPr>
        <w:t xml:space="preserve"> with respect to a Series, the Company shall be released and discharged from the obligations under any covenant contained in </w:t>
      </w:r>
      <w:r>
        <w:rPr>
          <w:rFonts w:ascii="Times New Roman" w:hAnsi="Times New Roman"/>
          <w:sz w:val="20"/>
          <w:u w:val="single"/>
        </w:rPr>
        <w:t>Article Five</w:t>
      </w:r>
      <w:r>
        <w:rPr>
          <w:rFonts w:ascii="Times New Roman" w:hAnsi="Times New Roman"/>
          <w:sz w:val="20"/>
        </w:rPr>
        <w:t xml:space="preserve">, </w:t>
      </w:r>
      <w:r>
        <w:rPr>
          <w:rFonts w:ascii="Times New Roman" w:hAnsi="Times New Roman"/>
          <w:sz w:val="20"/>
          <w:u w:val="single"/>
        </w:rPr>
        <w:t>Section 4.03</w:t>
      </w:r>
      <w:r>
        <w:rPr>
          <w:rFonts w:ascii="Times New Roman" w:hAnsi="Times New Roman"/>
          <w:sz w:val="20"/>
        </w:rPr>
        <w:t xml:space="preserve"> and any other covenant contained in or referenced in the Authorizing Resolution or supplemental indenture relating to such Series (to the extent such release and discharge shall not be prohibited thereby), on and after the date the conditions set forth below are satisfied (hereinafter, “</w:t>
      </w:r>
      <w:r>
        <w:rPr>
          <w:rFonts w:ascii="Times New Roman" w:hAnsi="Times New Roman"/>
          <w:b/>
          <w:sz w:val="20"/>
        </w:rPr>
        <w:t>Covenant Defeasance</w:t>
      </w:r>
      <w:r>
        <w:rPr>
          <w:rFonts w:ascii="Times New Roman" w:hAnsi="Times New Roman"/>
          <w:sz w:val="20"/>
        </w:rPr>
        <w:t xml:space="preserve">”), and the Securities of such Series shall thereafter be deemed to be not “outstanding” for the purpose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a Series, the Company may omit to comply with and shall have no liability in respect of any term, condition or limitation set forth in the covenants described in the preceding sentence,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 w:hAnsi="Times New Roman"/>
          <w:sz w:val="20"/>
          <w:u w:val="single"/>
        </w:rPr>
        <w:t>Section 6.01(3)</w:t>
      </w:r>
      <w:r>
        <w:rPr>
          <w:rFonts w:ascii="Times New Roman" w:hAnsi="Times New Roman"/>
          <w:sz w:val="20"/>
        </w:rPr>
        <w:t xml:space="preserve"> or otherwise, but, except as specified above, the remainder of this Indenture and such Securities shall be unaffected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following shall be the conditions to application of either </w:t>
      </w:r>
      <w:r>
        <w:rPr>
          <w:rFonts w:ascii="Times New Roman" w:hAnsi="Times New Roman"/>
          <w:sz w:val="20"/>
          <w:u w:val="single"/>
        </w:rPr>
        <w:t>paragraph (b)</w:t>
      </w:r>
      <w:r>
        <w:rPr>
          <w:rFonts w:ascii="Times New Roman" w:hAnsi="Times New Roman"/>
          <w:sz w:val="20"/>
        </w:rPr>
        <w:t xml:space="preserve"> or </w:t>
      </w:r>
      <w:r>
        <w:rPr>
          <w:rFonts w:ascii="Times New Roman" w:hAnsi="Times New Roman"/>
          <w:sz w:val="20"/>
          <w:u w:val="single"/>
        </w:rPr>
        <w:t>paragraph (c)</w:t>
      </w:r>
      <w:r>
        <w:rPr>
          <w:rFonts w:ascii="Times New Roman" w:hAnsi="Times New Roman"/>
          <w:sz w:val="20"/>
        </w:rPr>
        <w:t xml:space="preserve"> above to the outstanding Securities of the applicable Series: </w:t>
      </w:r>
    </w:p>
    <w:p>
      <w:pPr>
        <w:pStyle w:val="TextBody"/>
        <w:bidi w:val="0"/>
        <w:spacing w:before="240" w:after="0"/>
        <w:jc w:val="left"/>
        <w:rPr>
          <w:rFonts w:ascii="Times New Roman" w:hAnsi="Times New Roman"/>
          <w:sz w:val="20"/>
        </w:rPr>
      </w:pPr>
      <w:r>
        <w:rPr>
          <w:rFonts w:ascii="Times New Roman" w:hAnsi="Times New Roman"/>
          <w:sz w:val="20"/>
        </w:rPr>
        <w:t xml:space="preserve">(1) The Company shall have irrevocably deposited in trust with the Trustee (or another qualifying trustee), pursuant to an irrevocable trust and security agreement in form and substance reasonably satisfactory to the Trustee, money in the currency in which the Securities of such Series are payable or Government Obligations or a combination thereof in such amounts and at such times as are sufficient, in the opinion of a nationally recognized firm of independent public accountants, to pay the principal of and interest on the outstanding Securities of such Series to maturity or redemption; </w:t>
      </w:r>
      <w:r>
        <w:rPr>
          <w:rFonts w:ascii="Times New Roman" w:hAnsi="Times New Roman"/>
          <w:i/>
          <w:sz w:val="20"/>
        </w:rPr>
        <w:t>provided, however,</w:t>
      </w:r>
      <w:r>
        <w:rPr>
          <w:rFonts w:ascii="Times New Roman" w:hAnsi="Times New Roman"/>
          <w:sz w:val="20"/>
        </w:rPr>
        <w:t xml:space="preserve"> that the Trustee (or other qualifying trustee) shall have received an irrevocable written order from the Company instructing the Trustee (or other qualifying trustee) to apply such money or the proceeds of such Government Obligations to said payments with respect to the Securities of such Series to maturity or redemption; </w:t>
      </w:r>
    </w:p>
    <w:p>
      <w:pPr>
        <w:pStyle w:val="TextBody"/>
        <w:bidi w:val="0"/>
        <w:spacing w:before="120" w:after="0"/>
        <w:jc w:val="left"/>
        <w:rPr>
          <w:rFonts w:ascii="Times New Roman" w:hAnsi="Times New Roman"/>
          <w:sz w:val="20"/>
        </w:rPr>
      </w:pPr>
      <w:r>
        <w:rPr>
          <w:rFonts w:ascii="Times New Roman" w:hAnsi="Times New Roman"/>
          <w:sz w:val="20"/>
        </w:rPr>
        <w:t xml:space="preserve">(2) No Default or Event of Default (other than a Default or Event of Default resulting from non-compliance with any covenant from which the Company is released upon effectiveness of such Legal Defeasance or Covenant Defeasance pursuant to </w:t>
      </w:r>
      <w:r>
        <w:rPr>
          <w:rFonts w:ascii="Times New Roman" w:hAnsi="Times New Roman"/>
          <w:sz w:val="20"/>
          <w:u w:val="single"/>
        </w:rPr>
        <w:t>paragraph (b)</w:t>
      </w:r>
      <w:r>
        <w:rPr>
          <w:rFonts w:ascii="Times New Roman" w:hAnsi="Times New Roman"/>
          <w:sz w:val="20"/>
        </w:rPr>
        <w:t xml:space="preserve"> or </w:t>
      </w:r>
      <w:r>
        <w:rPr>
          <w:rFonts w:ascii="Times New Roman" w:hAnsi="Times New Roman"/>
          <w:sz w:val="20"/>
          <w:u w:val="single"/>
        </w:rPr>
        <w:t xml:space="preserve">(c) </w:t>
      </w:r>
      <w:r>
        <w:rPr>
          <w:rFonts w:ascii="Times New Roman" w:hAnsi="Times New Roman"/>
          <w:sz w:val="20"/>
        </w:rPr>
        <w:t xml:space="preserve">hereof, as applicable) shall have occurred and be continuing on the date of such deposit or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(3) (i) In the event the Company elects </w:t>
      </w:r>
      <w:r>
        <w:rPr>
          <w:rFonts w:ascii="Times New Roman" w:hAnsi="Times New Roman"/>
          <w:sz w:val="20"/>
          <w:u w:val="single"/>
        </w:rPr>
        <w:t>paragraph (b)</w:t>
      </w:r>
      <w:r>
        <w:rPr>
          <w:rFonts w:ascii="Times New Roman" w:hAnsi="Times New Roman"/>
          <w:sz w:val="20"/>
        </w:rPr>
        <w:t xml:space="preserve"> hereof, the Company shall deliver to the Trustee an Opinion of Counsel in the United States, in form and substance reasonably satisfactory to the Trustee, to the effect that (A) the Company has received from, or there has been published by, the Internal Revenue Service a ruling or (B) since the Issue Date pertaining to such Series, there has been a change in the applicable federal income tax law, in either case to the effect that, and based thereon such Opinion of Counsel shall state that, or (ii) in the event the Company elects </w:t>
      </w:r>
      <w:r>
        <w:rPr>
          <w:rFonts w:ascii="Times New Roman" w:hAnsi="Times New Roman"/>
          <w:sz w:val="20"/>
          <w:u w:val="single"/>
        </w:rPr>
        <w:t>paragraph (c)</w:t>
      </w:r>
      <w:r>
        <w:rPr>
          <w:rFonts w:ascii="Times New Roman" w:hAnsi="Times New Roman"/>
          <w:sz w:val="20"/>
        </w:rPr>
        <w:t xml:space="preserve"> hereof, the Company shall deliver to the Trustee an Opinion of Counsel in the United States, in form and substance reasonably satisfactory to the Trustee, to the effect that,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and subject to customary assumptions and exclusions, Holders of the Securities of such Series will not recognize income, gain or loss for federal income tax purposes as a result of such deposit and the defeasance contemplated hereby and will be subject to federal income tax in the same amounts and in the same manner and at the same times as would have been the case if such deposit and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(4) The Company shall have delivered to the Trustee an Officers’ Certificate, stating that the deposit under </w:t>
      </w:r>
      <w:r>
        <w:rPr>
          <w:rFonts w:ascii="Times New Roman" w:hAnsi="Times New Roman"/>
          <w:sz w:val="20"/>
          <w:u w:val="single"/>
        </w:rPr>
        <w:t>clause (1)</w:t>
      </w:r>
      <w:r>
        <w:rPr>
          <w:rFonts w:ascii="Times New Roman" w:hAnsi="Times New Roman"/>
          <w:sz w:val="20"/>
        </w:rPr>
        <w:t xml:space="preserve"> was not made by the Company with the intent of preferring the Holders of the Securities of such Series over any other creditors of the Company or with the intent of defeating, hindering, delaying or defrauding any other creditors of the Company or others; </w:t>
      </w:r>
    </w:p>
    <w:p>
      <w:pPr>
        <w:pStyle w:val="TextBody"/>
        <w:bidi w:val="0"/>
        <w:spacing w:before="120" w:after="0"/>
        <w:jc w:val="left"/>
        <w:rPr>
          <w:rFonts w:ascii="Times New Roman" w:hAnsi="Times New Roman"/>
          <w:sz w:val="20"/>
        </w:rPr>
      </w:pPr>
      <w:r>
        <w:rPr>
          <w:rFonts w:ascii="Times New Roman" w:hAnsi="Times New Roman"/>
          <w:sz w:val="20"/>
        </w:rPr>
        <w:t xml:space="preserve">(5) The Company shall have delivered to the Trustee an Opinion of Counsel (subject to customary assumptions and qualifications) to the effect that, assuming no intervening bankruptcy of the Company between the date of deposit and the 91st day following the deposit and assuming that no Holder is an “insider” of the Company under applicable Bankruptcy Law, after the 91st day following the deposit, the trust funds shall not be subject to the effect of Section 547 of the United States Bankruptcy Code or any analogous New York State law provision; and </w:t>
      </w:r>
    </w:p>
    <w:p>
      <w:pPr>
        <w:pStyle w:val="TextBody"/>
        <w:bidi w:val="0"/>
        <w:spacing w:before="120" w:after="0"/>
        <w:jc w:val="left"/>
        <w:rPr>
          <w:rFonts w:ascii="Times New Roman" w:hAnsi="Times New Roman"/>
          <w:sz w:val="20"/>
        </w:rPr>
      </w:pPr>
      <w:r>
        <w:rPr>
          <w:rFonts w:ascii="Times New Roman" w:hAnsi="Times New Roman"/>
          <w:sz w:val="20"/>
        </w:rPr>
        <w:t xml:space="preserve">(6) The Company has delivered to the Trustee an Officers’ Certificate and an Opinion of Counsel, each stating that all conditions precedent specified herein relating to the defeasance contemplated by this </w:t>
      </w:r>
      <w:r>
        <w:rPr>
          <w:rFonts w:ascii="Times New Roman" w:hAnsi="Times New Roman"/>
          <w:sz w:val="20"/>
          <w:u w:val="single"/>
        </w:rPr>
        <w:t>Section 8.01</w:t>
      </w:r>
      <w:r>
        <w:rPr>
          <w:rFonts w:ascii="Times New Roman" w:hAnsi="Times New Roman"/>
          <w:sz w:val="20"/>
        </w:rPr>
        <w:t xml:space="preserv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all or any portion of the Securities of a Series are to be redeemed through such irrevocable trust, the Company must make arrangements satisfactory to the Trustee, at the time of such deposit, for the giving of the notice of such redemption or redemptions by the Trustee in the name and at the expense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In addition to the Company’s rights above under this </w:t>
      </w:r>
      <w:r>
        <w:rPr>
          <w:rFonts w:ascii="Times New Roman" w:hAnsi="Times New Roman"/>
          <w:sz w:val="20"/>
          <w:u w:val="single"/>
        </w:rPr>
        <w:t>Section 8.01</w:t>
      </w:r>
      <w:r>
        <w:rPr>
          <w:rFonts w:ascii="Times New Roman" w:hAnsi="Times New Roman"/>
          <w:sz w:val="20"/>
        </w:rPr>
        <w:t xml:space="preserve">, the Company may terminate all of its obligations under this Indenture with respect to a Series, when: </w:t>
      </w:r>
    </w:p>
    <w:p>
      <w:pPr>
        <w:pStyle w:val="TextBody"/>
        <w:bidi w:val="0"/>
        <w:spacing w:before="120" w:after="0"/>
        <w:jc w:val="left"/>
        <w:rPr>
          <w:rFonts w:ascii="Times New Roman" w:hAnsi="Times New Roman"/>
          <w:sz w:val="20"/>
        </w:rPr>
      </w:pPr>
      <w:r>
        <w:rPr>
          <w:rFonts w:ascii="Times New Roman" w:hAnsi="Times New Roman"/>
          <w:sz w:val="20"/>
        </w:rPr>
        <w:t xml:space="preserve">(1) All Securities of such Series theretofore authenticated and delivered (other than Securities which have been destroyed, lost or stolen and which have been replaced or paid as provided in </w:t>
      </w:r>
      <w:r>
        <w:rPr>
          <w:rFonts w:ascii="Times New Roman" w:hAnsi="Times New Roman"/>
          <w:sz w:val="20"/>
          <w:u w:val="single"/>
        </w:rPr>
        <w:t>Section 2.07</w:t>
      </w:r>
      <w:r>
        <w:rPr>
          <w:rFonts w:ascii="Times New Roman" w:hAnsi="Times New Roman"/>
          <w:sz w:val="20"/>
        </w:rPr>
        <w:t xml:space="preserve"> and Securities for whose payment money has theretofore been deposited in trust or segregated and held in trust by the Company and thereafter repaid to the Company or discharged from such trust) have been delivered to the Trustee for cancellation or all such Securities not theretofore delivered to the Trustee for cancellation (A) have become due and payable, (B) will become due and payable at maturity within one year or (C) are to be called for redemption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one year under arrangements satisfactory to the Trustee for the giving of notice of redemption by the Trustee in the name, and at the expense, of the Company, and in each such case, the Company has irrevocably deposited or caused to be deposited with the Trustee (or another qualifying trustee) as trust funds in trust solely for that purpose an amount of money in the currency in which the Securities of such Series are payable or Government Obligations or a combination thereof sufficient, in the opinion of a nationally recognized firm of independent public accountants, to pay and discharge the entire indebtedness on the Securities of such Series not theretofore delivered to the Trustee for cancellation, for principal of and interest on the Securities of such Series, on the date of such deposit or to the maturity or redemption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(2) The Company has paid or caused to be paid all other sums payable hereunder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delivered irrevocable instructions to the Trustee (or such other qualifying trustee), to apply the deposited money toward the payment of the Securities of such Series at maturity or redemption, as the case may be; and </w:t>
      </w:r>
    </w:p>
    <w:p>
      <w:pPr>
        <w:pStyle w:val="TextBody"/>
        <w:bidi w:val="0"/>
        <w:spacing w:before="120" w:after="0"/>
        <w:jc w:val="left"/>
        <w:rPr>
          <w:rFonts w:ascii="Times New Roman" w:hAnsi="Times New Roman"/>
          <w:sz w:val="20"/>
        </w:rPr>
      </w:pPr>
      <w:r>
        <w:rPr>
          <w:rFonts w:ascii="Times New Roman" w:hAnsi="Times New Roman"/>
          <w:sz w:val="20"/>
        </w:rPr>
        <w:t xml:space="preserve">(4) The Company has delivered to the Trustee an Officers’ Certificate and an Opinion of Counsel, stating that all conditions precedent specified in this </w:t>
      </w:r>
      <w:r>
        <w:rPr>
          <w:rFonts w:ascii="Times New Roman" w:hAnsi="Times New Roman"/>
          <w:sz w:val="20"/>
          <w:u w:val="single"/>
        </w:rPr>
        <w:t xml:space="preserve">Section 8.01(e) </w:t>
      </w:r>
      <w:r>
        <w:rPr>
          <w:rFonts w:ascii="Times New Roman" w:hAnsi="Times New Roman"/>
          <w:sz w:val="20"/>
        </w:rPr>
        <w:t xml:space="preserve">relating to the satisfaction and discharge of this Indenture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8.02 </w:t>
      </w:r>
      <w:r>
        <w:rPr>
          <w:rFonts w:ascii="Times New Roman" w:hAnsi="Times New Roman"/>
          <w:b/>
          <w:sz w:val="20"/>
          <w:u w:val="single"/>
        </w:rPr>
        <w:t>Survival of the Company’s Obligations.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satisfaction and discharge of this Indenture under </w:t>
      </w:r>
      <w:r>
        <w:rPr>
          <w:rFonts w:ascii="Times New Roman" w:hAnsi="Times New Roman"/>
          <w:sz w:val="20"/>
          <w:u w:val="single"/>
        </w:rPr>
        <w:t>Section 8.01</w:t>
      </w:r>
      <w:r>
        <w:rPr>
          <w:rFonts w:ascii="Times New Roman" w:hAnsi="Times New Roman"/>
          <w:sz w:val="20"/>
        </w:rPr>
        <w:t xml:space="preserve">, the Company’s obligations in </w:t>
      </w:r>
      <w:r>
        <w:rPr>
          <w:rFonts w:ascii="Times New Roman" w:hAnsi="Times New Roman"/>
          <w:sz w:val="20"/>
          <w:u w:val="single"/>
        </w:rPr>
        <w:t>Paragraph 8</w:t>
      </w:r>
      <w:r>
        <w:rPr>
          <w:rFonts w:ascii="Times New Roman" w:hAnsi="Times New Roman"/>
          <w:sz w:val="20"/>
        </w:rPr>
        <w:t xml:space="preserve"> of the Securities and </w:t>
      </w:r>
      <w:r>
        <w:rPr>
          <w:rFonts w:ascii="Times New Roman" w:hAnsi="Times New Roman"/>
          <w:sz w:val="20"/>
          <w:u w:val="single"/>
        </w:rPr>
        <w:t>Sections 2.03</w:t>
      </w:r>
      <w:r>
        <w:rPr>
          <w:rFonts w:ascii="Times New Roman" w:hAnsi="Times New Roman"/>
          <w:sz w:val="20"/>
        </w:rPr>
        <w:t xml:space="preserve"> through </w:t>
      </w:r>
      <w:r>
        <w:rPr>
          <w:rFonts w:ascii="Times New Roman" w:hAnsi="Times New Roman"/>
          <w:sz w:val="20"/>
          <w:u w:val="single"/>
        </w:rPr>
        <w:t>2.07</w:t>
      </w:r>
      <w:r>
        <w:rPr>
          <w:rFonts w:ascii="Times New Roman" w:hAnsi="Times New Roman"/>
          <w:sz w:val="20"/>
        </w:rPr>
        <w:t xml:space="preserve">, </w:t>
      </w:r>
      <w:r>
        <w:rPr>
          <w:rFonts w:ascii="Times New Roman" w:hAnsi="Times New Roman"/>
          <w:sz w:val="20"/>
          <w:u w:val="single"/>
        </w:rPr>
        <w:t>4.01</w:t>
      </w:r>
      <w:r>
        <w:rPr>
          <w:rFonts w:ascii="Times New Roman" w:hAnsi="Times New Roman"/>
          <w:sz w:val="20"/>
        </w:rPr>
        <w:t xml:space="preserve">, </w:t>
      </w:r>
      <w:r>
        <w:rPr>
          <w:rFonts w:ascii="Times New Roman" w:hAnsi="Times New Roman"/>
          <w:sz w:val="20"/>
          <w:u w:val="single"/>
        </w:rPr>
        <w:t>7.07</w:t>
      </w:r>
      <w:r>
        <w:rPr>
          <w:rFonts w:ascii="Times New Roman" w:hAnsi="Times New Roman"/>
          <w:sz w:val="20"/>
        </w:rPr>
        <w:t xml:space="preserve">, </w:t>
      </w:r>
      <w:r>
        <w:rPr>
          <w:rFonts w:ascii="Times New Roman" w:hAnsi="Times New Roman"/>
          <w:sz w:val="20"/>
          <w:u w:val="single"/>
        </w:rPr>
        <w:t>7.08</w:t>
      </w:r>
      <w:r>
        <w:rPr>
          <w:rFonts w:ascii="Times New Roman" w:hAnsi="Times New Roman"/>
          <w:sz w:val="20"/>
        </w:rPr>
        <w:t xml:space="preserve">, </w:t>
      </w:r>
      <w:r>
        <w:rPr>
          <w:rFonts w:ascii="Times New Roman" w:hAnsi="Times New Roman"/>
          <w:sz w:val="20"/>
          <w:u w:val="single"/>
        </w:rPr>
        <w:t>8.04</w:t>
      </w:r>
      <w:r>
        <w:rPr>
          <w:rFonts w:ascii="Times New Roman" w:hAnsi="Times New Roman"/>
          <w:sz w:val="20"/>
        </w:rPr>
        <w:t xml:space="preserve"> and </w:t>
      </w:r>
      <w:r>
        <w:rPr>
          <w:rFonts w:ascii="Times New Roman" w:hAnsi="Times New Roman"/>
          <w:sz w:val="20"/>
          <w:u w:val="single"/>
        </w:rPr>
        <w:t>8.05</w:t>
      </w:r>
      <w:r>
        <w:rPr>
          <w:rFonts w:ascii="Times New Roman" w:hAnsi="Times New Roman"/>
          <w:sz w:val="20"/>
        </w:rPr>
        <w:t xml:space="preserve">, however, shall survive until the Securities of an applicable Series are no longer outstanding. Thereafter, the Company’s obligations in </w:t>
      </w:r>
      <w:r>
        <w:rPr>
          <w:rFonts w:ascii="Times New Roman" w:hAnsi="Times New Roman"/>
          <w:sz w:val="20"/>
          <w:u w:val="single"/>
        </w:rPr>
        <w:t>Paragraph 8</w:t>
      </w:r>
      <w:r>
        <w:rPr>
          <w:rFonts w:ascii="Times New Roman" w:hAnsi="Times New Roman"/>
          <w:sz w:val="20"/>
        </w:rPr>
        <w:t xml:space="preserve"> of the Securities of such Series and </w:t>
      </w:r>
      <w:r>
        <w:rPr>
          <w:rFonts w:ascii="Times New Roman" w:hAnsi="Times New Roman"/>
          <w:sz w:val="20"/>
          <w:u w:val="single"/>
        </w:rPr>
        <w:t>Sections 7.07</w:t>
      </w:r>
      <w:r>
        <w:rPr>
          <w:rFonts w:ascii="Times New Roman" w:hAnsi="Times New Roman"/>
          <w:sz w:val="20"/>
        </w:rPr>
        <w:t xml:space="preserve">, </w:t>
      </w:r>
      <w:r>
        <w:rPr>
          <w:rFonts w:ascii="Times New Roman" w:hAnsi="Times New Roman"/>
          <w:sz w:val="20"/>
          <w:u w:val="single"/>
        </w:rPr>
        <w:t>8.04</w:t>
      </w:r>
      <w:r>
        <w:rPr>
          <w:rFonts w:ascii="Times New Roman" w:hAnsi="Times New Roman"/>
          <w:sz w:val="20"/>
        </w:rPr>
        <w:t xml:space="preserve"> and </w:t>
      </w:r>
      <w:r>
        <w:rPr>
          <w:rFonts w:ascii="Times New Roman" w:hAnsi="Times New Roman"/>
          <w:sz w:val="20"/>
          <w:u w:val="single"/>
        </w:rPr>
        <w:t>8.05</w:t>
      </w:r>
      <w:r>
        <w:rPr>
          <w:rFonts w:ascii="Times New Roman" w:hAnsi="Times New Roman"/>
          <w:sz w:val="20"/>
        </w:rPr>
        <w:t xml:space="preserve"> shall survive (as they relate to such Series) such satisfaction and discharge.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8.03 </w:t>
      </w:r>
      <w:r>
        <w:rPr>
          <w:rFonts w:ascii="Times New Roman" w:hAnsi="Times New Roman"/>
          <w:b/>
          <w:sz w:val="20"/>
          <w:u w:val="single"/>
        </w:rPr>
        <w:t>Application of Trust Money.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hold in trust money or Government Obligations deposited with it pursuant to </w:t>
      </w:r>
      <w:r>
        <w:rPr>
          <w:rFonts w:ascii="Times New Roman" w:hAnsi="Times New Roman"/>
          <w:sz w:val="20"/>
          <w:u w:val="single"/>
        </w:rPr>
        <w:t>Section 8.01</w:t>
      </w:r>
      <w:r>
        <w:rPr>
          <w:rFonts w:ascii="Times New Roman" w:hAnsi="Times New Roman"/>
          <w:sz w:val="20"/>
        </w:rPr>
        <w:t xml:space="preserve">. It shall apply the deposited money and the money from Government Obligations in accordance with this Indenture to the payment of principal of and interest on the Securities of the defeased Series.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8.04 </w:t>
      </w:r>
      <w:r>
        <w:rPr>
          <w:rFonts w:ascii="Times New Roman" w:hAnsi="Times New Roman"/>
          <w:b/>
          <w:sz w:val="20"/>
          <w:u w:val="single"/>
        </w:rPr>
        <w:t>Repayment to the 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and the Paying Agent shall promptly pay to the Company upon request any excess money or securities held by them at any time. The Trustee and the Paying Agent shall pay to the Company upon request any money held by them for the payment of principal or interest that remains unclaimed for two years, </w:t>
      </w:r>
      <w:r>
        <w:rPr>
          <w:rFonts w:ascii="Times New Roman" w:hAnsi="Times New Roman"/>
          <w:i/>
          <w:sz w:val="20"/>
        </w:rPr>
        <w:t>provided, however,</w:t>
      </w:r>
      <w:r>
        <w:rPr>
          <w:rFonts w:ascii="Times New Roman" w:hAnsi="Times New Roman"/>
          <w:sz w:val="20"/>
        </w:rPr>
        <w:t xml:space="preserve"> that the Trustee or such Paying Agent, before being required to make any such repayment, may at the expense of the Company cause to be published once in a newspaper of general circulation in the City of New York or mail to each such Holder notice that such money remains unclaimed and that, after a date specified therein, which shall not be less than 30 days from the date of such publication or mailing, any unclaimed balance of such money then remaining will be repaid to the Company. After payment to the Company, Securityholders entitled to the money must look to the Company for payment as general creditors unless applicable abandoned property law designates another person and all liability of the Trustee or such Paying Agent with respect to such money shall cease.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8.05 </w:t>
      </w:r>
      <w:r>
        <w:rPr>
          <w:rFonts w:ascii="Times New Roman" w:hAnsi="Times New Roman"/>
          <w:b/>
          <w:sz w:val="20"/>
          <w:u w:val="single"/>
        </w:rPr>
        <w:t>Reinstatement.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is unable to apply any money or Government Obligations in accordance with </w:t>
      </w:r>
      <w:r>
        <w:rPr>
          <w:rFonts w:ascii="Times New Roman" w:hAnsi="Times New Roman"/>
          <w:sz w:val="20"/>
          <w:u w:val="single"/>
        </w:rPr>
        <w:t>Section 8.01</w:t>
      </w:r>
      <w:r>
        <w:rPr>
          <w:rFonts w:ascii="Times New Roman" w:hAnsi="Times New Roman"/>
          <w:sz w:val="20"/>
        </w:rPr>
        <w:t xml:space="preserve"> by reason of any legal proceeding or by reason of any order or judgment of any court or governmental authority enjoining, restraining or otherwise prohibiting such application, the Company’s obligations under this Indenture and the Securities relating to the Series shall be revived and reinstated as though no deposit had occurred pursuant to </w:t>
      </w:r>
      <w:r>
        <w:rPr>
          <w:rFonts w:ascii="Times New Roman" w:hAnsi="Times New Roman"/>
          <w:sz w:val="20"/>
          <w:u w:val="single"/>
        </w:rPr>
        <w:t>Section 8.01</w:t>
      </w:r>
      <w:r>
        <w:rPr>
          <w:rFonts w:ascii="Times New Roman" w:hAnsi="Times New Roman"/>
          <w:sz w:val="20"/>
        </w:rPr>
        <w:t xml:space="preserve"> until such time as the Trustee is permitted to apply all such money or Government Obligations in accordance with </w:t>
      </w:r>
      <w:r>
        <w:rPr>
          <w:rFonts w:ascii="Times New Roman" w:hAnsi="Times New Roman"/>
          <w:sz w:val="20"/>
          <w:u w:val="single"/>
        </w:rPr>
        <w:t>Section 8.01</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if the Company has made any payment of interest on or principal of any Securities of the Series because of the reinstatement of its obligations hereunder,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subrogated to the rights of the Holders of such Securities to receive such payment from the money or Government Obligations held by the Trustee and (b) unless otherwise required by any legal proceeding or any order or judgment of any court or governmental authority, the Trustee shall return all such money or Government Obligations to the Company promptly after receiving a written request therefor at any time, if such reinstatement of the Company’s obligations has occurred and continues to be in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NINE </w:t>
      </w:r>
    </w:p>
    <w:p>
      <w:pPr>
        <w:pStyle w:val="TextBody"/>
        <w:bidi w:val="0"/>
        <w:spacing w:before="0" w:after="0"/>
        <w:jc w:val="center"/>
        <w:rPr>
          <w:rFonts w:ascii="Times New Roman" w:hAnsi="Times New Roman"/>
          <w:b/>
          <w:sz w:val="20"/>
        </w:rPr>
      </w:pPr>
      <w:r>
        <w:rPr>
          <w:rFonts w:ascii="Times New Roman" w:hAnsi="Times New Roman"/>
          <w:b/>
          <w:sz w:val="20"/>
        </w:rPr>
        <w:t xml:space="preserve">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TEN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SUPPLEMENTS AND WAIVERS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w:t>
      </w:r>
      <w:r>
        <w:rPr>
          <w:rFonts w:ascii="Times New Roman" w:hAnsi="Times New Roman"/>
          <w:b/>
          <w:sz w:val="20"/>
          <w:u w:val="single"/>
        </w:rPr>
        <w:t>Without Consent of Holders.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a Series without notice to or consent of any Securityholder of such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w:t>
            </w:r>
            <w:r>
              <w:rPr>
                <w:rFonts w:ascii="Times New Roman" w:hAnsi="Times New Roman"/>
                <w:sz w:val="20"/>
                <w:u w:val="single"/>
              </w:rPr>
              <w:t>Article Five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that specific provisions of this Indenture shall not apply to a Series not previously issued or to make a change to specific provisions of this Indenture that only applies to any Series not previously issued or to additional Securities of a Series not previously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create a Series and establish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release a guarantor in respect of any Series which, in accordance with the terms of this Indenture applicable to the particular Series, ceases to be liable in respect of its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in respect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Company for the benefit of the Holders or surrender any right or power conferred upon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appoint a successor trustee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this Indenture under the TIA;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does not adversely affect the rights of Securityholders;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provisions of the Indenture to the final offering memorandum or prospectus in respect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an amendment under this </w:t>
      </w:r>
      <w:r>
        <w:rPr>
          <w:rFonts w:ascii="Times New Roman" w:hAnsi="Times New Roman"/>
          <w:sz w:val="20"/>
          <w:u w:val="single"/>
        </w:rPr>
        <w:t>Section 10.01</w:t>
      </w:r>
      <w:r>
        <w:rPr>
          <w:rFonts w:ascii="Times New Roman" w:hAnsi="Times New Roman"/>
          <w:sz w:val="20"/>
        </w:rPr>
        <w:t xml:space="preserve"> becomes effective, the Company shall mail notice of such amendment to the Securityholders.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10.02 </w:t>
      </w:r>
      <w:r>
        <w:rPr>
          <w:rFonts w:ascii="Times New Roman" w:hAnsi="Times New Roman"/>
          <w:b/>
          <w:sz w:val="20"/>
          <w:u w:val="single"/>
        </w:rPr>
        <w:t>With Consent of Holders.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amend or supplement any provision of the Securities of a Series or of this Indenture relating to such Series without notice to any Securityholder of such Series but with the written consent of the Holders of at least a majority in principal amount of the outstanding Securities of such Series (including consents obtained in connection with a purchase of, or tender offer or exchange offer for, Securities of such Series). Each such Series shall vote as a separate class. The Holders of a majority in principal amount of the outstanding Securities of any Series may waive compliance by the Company with any provision of the Securities of such Series or of this Indenture relating to such Series without notice to any Securityholder (including any waiver granted in connection with a purchase of, or tender offer or exchange offer for, Securities of such Series). Without the consent of each Holder of a Security the terms of which are directly amended, supplemented or waived, however, an amendment, supplement or waiver, including a waiver pursuant to </w:t>
      </w:r>
      <w:r>
        <w:rPr>
          <w:rFonts w:ascii="Times New Roman" w:hAnsi="Times New Roman"/>
          <w:sz w:val="20"/>
          <w:u w:val="single"/>
        </w:rPr>
        <w:t>Section 6.04</w:t>
      </w:r>
      <w:r>
        <w:rPr>
          <w:rFonts w:ascii="Times New Roman" w:hAnsi="Times New Roman"/>
          <w:sz w:val="20"/>
        </w:rPr>
        <w:t xml:space="preserve">, may not (with respect to any Securities of such Series held by a non-consenting Holder): </w:t>
      </w:r>
    </w:p>
    <w:p>
      <w:pPr>
        <w:pStyle w:val="TextBody"/>
        <w:bidi w:val="0"/>
        <w:spacing w:before="240" w:after="0"/>
        <w:jc w:val="left"/>
        <w:rPr>
          <w:rFonts w:ascii="Times New Roman" w:hAnsi="Times New Roman"/>
          <w:sz w:val="20"/>
        </w:rPr>
      </w:pPr>
      <w:r>
        <w:rPr>
          <w:rFonts w:ascii="Times New Roman" w:hAnsi="Times New Roman"/>
          <w:sz w:val="20"/>
        </w:rPr>
        <w:t xml:space="preserve">(1) reduce the amount of Securities of the relevant Series whose Holders must consent to an amendment, supplement or waiver;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reduce the rate of or extend the time for payment of interest, including defaulted interest, on any Security; </w:t>
      </w:r>
    </w:p>
    <w:p>
      <w:pPr>
        <w:pStyle w:val="TextBody"/>
        <w:bidi w:val="0"/>
        <w:spacing w:before="120" w:after="0"/>
        <w:jc w:val="left"/>
        <w:rPr>
          <w:rFonts w:ascii="Times New Roman" w:hAnsi="Times New Roman"/>
          <w:sz w:val="20"/>
        </w:rPr>
      </w:pPr>
      <w:r>
        <w:rPr>
          <w:rFonts w:ascii="Times New Roman" w:hAnsi="Times New Roman"/>
          <w:sz w:val="20"/>
        </w:rPr>
        <w:t xml:space="preserve">(3) reduce the principal of or extend the fixed maturity of any Security or alter the provisions (including related definitions) with respect to redemption of any Security pursuant to </w:t>
      </w:r>
      <w:r>
        <w:rPr>
          <w:rFonts w:ascii="Times New Roman" w:hAnsi="Times New Roman"/>
          <w:sz w:val="20"/>
          <w:u w:val="single"/>
        </w:rPr>
        <w:t>Article Three</w:t>
      </w:r>
      <w:r>
        <w:rPr>
          <w:rFonts w:ascii="Times New Roman" w:hAnsi="Times New Roman"/>
          <w:sz w:val="20"/>
        </w:rPr>
        <w:t xml:space="preserve"> hereof or with respect to any obligations on the part of the Company to offer to purchase or to redeem Securities of a Series pursuant to the Authorizing Resolution or supplemental indenture pertaining to such Series in a manner adverse to Holders; </w:t>
      </w:r>
    </w:p>
    <w:p>
      <w:pPr>
        <w:pStyle w:val="TextBody"/>
        <w:bidi w:val="0"/>
        <w:spacing w:before="120" w:after="0"/>
        <w:jc w:val="left"/>
        <w:rPr>
          <w:rFonts w:ascii="Times New Roman" w:hAnsi="Times New Roman"/>
          <w:sz w:val="20"/>
        </w:rPr>
      </w:pPr>
      <w:r>
        <w:rPr>
          <w:rFonts w:ascii="Times New Roman" w:hAnsi="Times New Roman"/>
          <w:sz w:val="20"/>
        </w:rPr>
        <w:t xml:space="preserve">(4) make any change that adversely affects any right of a Holder to convert or exchange any Security into or for shares of the Company’s Capital Stock or other securities, cash or other property in accordance with the terms of such Security; </w:t>
      </w:r>
    </w:p>
    <w:p>
      <w:pPr>
        <w:pStyle w:val="TextBody"/>
        <w:bidi w:val="0"/>
        <w:spacing w:before="120" w:after="0"/>
        <w:jc w:val="left"/>
        <w:rPr>
          <w:rFonts w:ascii="Times New Roman" w:hAnsi="Times New Roman"/>
          <w:sz w:val="20"/>
        </w:rPr>
      </w:pPr>
      <w:r>
        <w:rPr>
          <w:rFonts w:ascii="Times New Roman" w:hAnsi="Times New Roman"/>
          <w:sz w:val="20"/>
        </w:rPr>
        <w:t xml:space="preserve">(5) modify the ranking or priority of the Securities of the relevant Series or any guarantee thereof; </w:t>
      </w:r>
    </w:p>
    <w:p>
      <w:pPr>
        <w:pStyle w:val="TextBody"/>
        <w:bidi w:val="0"/>
        <w:spacing w:before="120" w:after="0"/>
        <w:jc w:val="left"/>
        <w:rPr>
          <w:rFonts w:ascii="Times New Roman" w:hAnsi="Times New Roman"/>
          <w:sz w:val="20"/>
        </w:rPr>
      </w:pPr>
      <w:r>
        <w:rPr>
          <w:rFonts w:ascii="Times New Roman" w:hAnsi="Times New Roman"/>
          <w:sz w:val="20"/>
        </w:rPr>
        <w:t xml:space="preserve">(6) release any guarantor of any Series from any of its obligations under its guarantee or this Indenture otherwise than in accordance with the terms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(7) make any change in </w:t>
      </w:r>
      <w:r>
        <w:rPr>
          <w:rFonts w:ascii="Times New Roman" w:hAnsi="Times New Roman"/>
          <w:sz w:val="20"/>
          <w:u w:val="single"/>
        </w:rPr>
        <w:t>Sections 6.04</w:t>
      </w:r>
      <w:r>
        <w:rPr>
          <w:rFonts w:ascii="Times New Roman" w:hAnsi="Times New Roman"/>
          <w:sz w:val="20"/>
        </w:rPr>
        <w:t xml:space="preserve">, </w:t>
      </w:r>
      <w:r>
        <w:rPr>
          <w:rFonts w:ascii="Times New Roman" w:hAnsi="Times New Roman"/>
          <w:sz w:val="20"/>
          <w:u w:val="single"/>
        </w:rPr>
        <w:t>6.07</w:t>
      </w:r>
      <w:r>
        <w:rPr>
          <w:rFonts w:ascii="Times New Roman" w:hAnsi="Times New Roman"/>
          <w:sz w:val="20"/>
        </w:rPr>
        <w:t xml:space="preserve"> or this </w:t>
      </w:r>
      <w:r>
        <w:rPr>
          <w:rFonts w:ascii="Times New Roman" w:hAnsi="Times New Roman"/>
          <w:sz w:val="20"/>
          <w:u w:val="single"/>
        </w:rPr>
        <w:t>Section 10.02</w:t>
      </w:r>
      <w:r>
        <w:rPr>
          <w:rFonts w:ascii="Times New Roman" w:hAnsi="Times New Roman"/>
          <w:sz w:val="20"/>
        </w:rPr>
        <w:t xml:space="preserve">, except to increase the percentage required for modification or waiver or to provide for consent of each affected Holder of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(8) waive a continuing Default or Event of Default in the payment of the principal of or interest on any Security; or </w:t>
      </w:r>
    </w:p>
    <w:p>
      <w:pPr>
        <w:pStyle w:val="TextBody"/>
        <w:bidi w:val="0"/>
        <w:spacing w:before="120" w:after="0"/>
        <w:jc w:val="left"/>
        <w:rPr>
          <w:rFonts w:ascii="Times New Roman" w:hAnsi="Times New Roman"/>
          <w:sz w:val="20"/>
        </w:rPr>
      </w:pPr>
      <w:r>
        <w:rPr>
          <w:rFonts w:ascii="Times New Roman" w:hAnsi="Times New Roman"/>
          <w:sz w:val="20"/>
        </w:rPr>
        <w:t xml:space="preserve">(9) make any Security payable at a place or in money other than that stated in the Security, or impair the right of any Securityholder to bring suit as permitted by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amendment of a provision included solely for the benefit of one or more Series does not affect the interests of Securityholders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under this Section to approve the particular form of any proposed supplement, but it shall be sufficient if such consent approves the substance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10.03 </w:t>
      </w:r>
      <w:r>
        <w:rPr>
          <w:rFonts w:ascii="Times New Roman" w:hAnsi="Times New Roman"/>
          <w:b/>
          <w:sz w:val="20"/>
          <w:u w:val="single"/>
        </w:rPr>
        <w:t>Compliance with Trust Indenture Act.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Every amendment to or supplement of this Indenture or any Securities shall comply with the TIA as then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10.04 </w:t>
      </w:r>
      <w:r>
        <w:rPr>
          <w:rFonts w:ascii="Times New Roman" w:hAnsi="Times New Roman"/>
          <w:b/>
          <w:sz w:val="20"/>
          <w:u w:val="single"/>
        </w:rPr>
        <w:t>Revocation and Effect of Consents.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consent to an amendment, supplement or waiver by a Holder shall bind the Holder and every subsequent Holder of a Security or portion of a Security that evidences the same debt as the consenting Holder’s Security, even if notation of the consent is not made on any Security. Unless otherwise provided in the consent or the consent solicitation statement or other document describing the terms of the consent, any Holder or subsequent Holder may revoke the consent as to its Security or portion of a Security. Any revocation of a consent by the Holder of a Security or any such subsequent Holder shall be effective only if the Trustee receives the notice of revocation before the date on which the Trustee receives an Officers’ Certificate from the Company certifying that the requisite number of consents have been received.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of Securities of any Series entitled to consent to any amendment, supplement or waiver, which record date shall be at least 10 days prior to the first solicitation of such consent. If a record date is fixed, and if Holders otherwise have a right to revoke their consent under the consent or the consent solicitation statement or other document describing the terms of the consent, then notwithstanding the second to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amendment, supplement or waiver with respect to a Series becomes effective upon the (i) receipt by the Company or the Trustee of the requisite consents, (ii) satisfaction of any conditions to effectiveness as set forth in this Indenture or any indenture supplemental hereto containing such amendment, supplement or waiver and (iii) execution of such amendment, supplement or waiver (or the related supplemental indenture) by the Company and the Trustee. After an amendment, supplement or waiver with respect to a Series becomes effective, it shall bind every Holder of such Series, unless it makes a change described in any of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(9)</w:t>
      </w:r>
      <w:r>
        <w:rPr>
          <w:rFonts w:ascii="Times New Roman" w:hAnsi="Times New Roman"/>
          <w:sz w:val="20"/>
        </w:rPr>
        <w:t xml:space="preserve"> of </w:t>
      </w:r>
      <w:r>
        <w:rPr>
          <w:rFonts w:ascii="Times New Roman" w:hAnsi="Times New Roman"/>
          <w:sz w:val="20"/>
          <w:u w:val="single"/>
        </w:rPr>
        <w:t>Section 10.02</w:t>
      </w:r>
      <w:r>
        <w:rPr>
          <w:rFonts w:ascii="Times New Roman" w:hAnsi="Times New Roman"/>
          <w:sz w:val="20"/>
        </w:rPr>
        <w:t xml:space="preserve">, in which case, the amendment, supplement or waiver shall bind a Holder of a Security of such Series only if it has consented to such amendment, supplement or waiver and every subsequent Holder of a Security or portion of a Security that evidences the same debt as the consenting Holder’s Security; </w:t>
      </w:r>
      <w:r>
        <w:rPr>
          <w:rFonts w:ascii="Times New Roman" w:hAnsi="Times New Roman"/>
          <w:i/>
          <w:sz w:val="20"/>
        </w:rPr>
        <w:t>provided</w:t>
      </w:r>
      <w:r>
        <w:rPr>
          <w:rFonts w:ascii="Times New Roman" w:hAnsi="Times New Roman"/>
          <w:sz w:val="20"/>
        </w:rPr>
        <w:t xml:space="preserve"> that no such waiver shall impair or affect the right of any Holder to receive payment of principal of and interest on a Security, on or after the respective due dates expressed in such Security, or to bring suit for the enforcement of any such payment on or after such respective dates without the consent of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10.05 </w:t>
      </w:r>
      <w:r>
        <w:rPr>
          <w:rFonts w:ascii="Times New Roman" w:hAnsi="Times New Roman"/>
          <w:b/>
          <w:sz w:val="20"/>
          <w:u w:val="single"/>
        </w:rPr>
        <w:t>Notation on or Exchange of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amendment, supplement or waiver changes the terms of a Security, the Company may require the Holder of the Security to deliver it to the Trustee, at which time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10.06 </w:t>
      </w:r>
      <w:r>
        <w:rPr>
          <w:rFonts w:ascii="Times New Roman" w:hAnsi="Times New Roman"/>
          <w:b/>
          <w:sz w:val="20"/>
          <w:u w:val="single"/>
        </w:rPr>
        <w:t>Trustee to Sign Amendments, etc.</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7.02(b)</w:t>
      </w:r>
      <w:r>
        <w:rPr>
          <w:rFonts w:ascii="Times New Roman" w:hAnsi="Times New Roman"/>
          <w:sz w:val="20"/>
        </w:rPr>
        <w:t xml:space="preserve">, the Trustee shall sign any amendment, supplement or waiver authorized pursuant to this Article if the amendment, supplement or waiver does not adversely affect the rights, duties, liabilities or immunities of the Trustee. If it does, the Trustee may but need not sign it. In signing or refusing to sign such amendment or supplemental indenture, the Trustee shall be provided with and shall be fully protected in relying upon an Officers’ Certificate and an Opinion of Counsel as conclusive evidence that such amendment, supplement or waiver is authorized or permitted by this Indenture, and (solely with respect to such Opinion of Counsel) that it will be valid and binding upon the Company and enforceable in accordance with its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ELEVEN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IN FOREIGN CURRENCIES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11.01 </w:t>
      </w:r>
      <w:r>
        <w:rPr>
          <w:rFonts w:ascii="Times New Roman" w:hAnsi="Times New Roman"/>
          <w:b/>
          <w:sz w:val="20"/>
          <w:u w:val="single"/>
        </w:rPr>
        <w:t>Applicability of Article.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provides for (i) any action by, or the determination of any of the rights of, Holders of Securities of any Series in which not all of such Securities are denominated in the same currency, or (ii) any distribution to Holders of Securities, in the absence of any provision to the contrary pursuant to this Indenture or the Securities of any particular Series, any amount in respect of any Security denominated in a Foreign Currency shall be treated for any such action or distribution as that amount of Dollars that could be obtained for such amount on such reasonable basis of exchange and as of the record date with respect to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TWELVE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12.01 </w:t>
      </w:r>
      <w:r>
        <w:rPr>
          <w:rFonts w:ascii="Times New Roman" w:hAnsi="Times New Roman"/>
          <w:b/>
          <w:sz w:val="20"/>
          <w:u w:val="single"/>
        </w:rPr>
        <w:t>Trust Indenture Act Controls.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to be included in this Indenture by the TIA, the required provision shall control.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12.02 </w:t>
      </w:r>
      <w:r>
        <w:rPr>
          <w:rFonts w:ascii="Times New Roman" w:hAnsi="Times New Roman"/>
          <w:b/>
          <w:sz w:val="20"/>
          <w:u w:val="single"/>
        </w:rPr>
        <w:t>Notices.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order, consent, notice or communication shall be sufficiently given if in writing and delivered in person or mailed by first-class mail, postage prepaid,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mailed to a Securityholder shall be mailed to him by first-class mail at his address as it appears on the registration books of the Registrar and shall be sufficiently given to him if so mailed within the time prescribed.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a notice or communication to a Securityholder or any defect in it shall not affect its sufficiency with respect to other Securityholders. If a notice or communication is mailed in the manner provided above, it is duly given, whether or not the addressee receives it except that notice to the Trustee shall only be effective upon receipt thereof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mails notice or communications to the Securityholders, it shall mail a copy to the Trustee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w:t>
      </w:r>
    </w:p>
    <w:p>
      <w:pPr>
        <w:pStyle w:val="TextBody"/>
        <w:bidi w:val="0"/>
        <w:spacing w:before="0" w:after="0"/>
        <w:jc w:val="left"/>
        <w:rPr>
          <w:rFonts w:ascii="Times New Roman" w:hAnsi="Times New Roman"/>
          <w:sz w:val="20"/>
        </w:rPr>
      </w:pPr>
      <w:r>
        <w:rPr>
          <w:rFonts w:ascii="Times New Roman" w:hAnsi="Times New Roman"/>
          <w:sz w:val="20"/>
        </w:rPr>
        <w:t xml:space="preserve">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12.03 </w:t>
      </w:r>
      <w:r>
        <w:rPr>
          <w:rFonts w:ascii="Times New Roman" w:hAnsi="Times New Roman"/>
          <w:b/>
          <w:sz w:val="20"/>
          <w:u w:val="single"/>
        </w:rPr>
        <w:t>Communications by Holders with Other Holders.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Securityholders may communicate pursuant to TIA § 312(b) with other Securityholders with respect to their rights under this Indenture or the Securities. The Company, the Trustee, the Registrar and anyone else shall have the protection of TIA § 312(c).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12.04 </w:t>
      </w:r>
      <w:r>
        <w:rPr>
          <w:rFonts w:ascii="Times New Roman" w:hAnsi="Times New Roman"/>
          <w:b/>
          <w:sz w:val="20"/>
          <w:u w:val="single"/>
        </w:rPr>
        <w:t>Certificate and Opinion as to Conditions Precedent.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(which shall include the statements set forth in </w:t>
            </w:r>
            <w:r>
              <w:rPr>
                <w:rFonts w:ascii="Times New Roman" w:hAnsi="Times New Roman"/>
                <w:sz w:val="20"/>
                <w:u w:val="single"/>
              </w:rPr>
              <w:t>Section 12.05</w:t>
            </w:r>
            <w:r>
              <w:rPr>
                <w:rFonts w:ascii="Times New Roman" w:hAnsi="Times New Roman"/>
                <w:sz w:val="20"/>
              </w:rPr>
              <w:t xml:space="preserve">) stating that, in the opinion of the signers, all conditions precedent, if any, provided for in this Indenture relating to the proposed action have been complied 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of Counsel (which shall include the statements set forth in </w:t>
            </w:r>
            <w:r>
              <w:rPr>
                <w:rFonts w:ascii="Times New Roman" w:hAnsi="Times New Roman"/>
                <w:sz w:val="20"/>
                <w:u w:val="single"/>
              </w:rPr>
              <w:t>Section 12.05</w:t>
            </w:r>
            <w:r>
              <w:rPr>
                <w:rFonts w:ascii="Times New Roman" w:hAnsi="Times New Roman"/>
                <w:sz w:val="20"/>
              </w:rPr>
              <w:t xml:space="preserve">) stating that, in the opinion of such counsel, all such conditions precedent, if any, provided for in this Indenture relating to the proposed action or inaction,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Officers’ Certificate may be based, and may state that it is so based, insofar as it relates to legal matters, upon a certificate or opinion of, or representations by, internal or external legal counsel. Any Opinion of Counsel may be based, and may state that it is so based, insofar as it relates to factual matters, upon a certificate or opinion of, or representations by, an Officer or Officers of the Company or any guarantor stating that the information with respect to such factual matters is known to the Company or such guarantor, unless such counsel knows that the certificate or opinion or representations with respect to such matters are erroneous.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12.05 </w:t>
      </w:r>
      <w:r>
        <w:rPr>
          <w:rFonts w:ascii="Times New Roman" w:hAnsi="Times New Roman"/>
          <w:b/>
          <w:sz w:val="20"/>
          <w:u w:val="single"/>
        </w:rPr>
        <w:t>Statements Required in Certificate or Opinion.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shall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person making such certificate or opinion has read such covenant or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brief statement as to the nature and scope of the examination or investigation upon which the statements or opinions contained in such certificate or opinion are based;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in the opinion of such person, he has made such examination or investigation as is necessary to enable him to express an informed opinion as to whether or not such covenant or condition has been complied 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as to whether or not, in the opinion of such person, such condition or covenant has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12.06 </w:t>
      </w:r>
      <w:r>
        <w:rPr>
          <w:rFonts w:ascii="Times New Roman" w:hAnsi="Times New Roman"/>
          <w:b/>
          <w:sz w:val="20"/>
          <w:u w:val="single"/>
        </w:rPr>
        <w:t>Rules by Trustee and Agents.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 meeting of Securityholders. The Registrar or Paying Agent may make reasonable rules for its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12.07 </w:t>
      </w:r>
      <w:r>
        <w:rPr>
          <w:rFonts w:ascii="Times New Roman" w:hAnsi="Times New Roman"/>
          <w:b/>
          <w:sz w:val="20"/>
          <w:u w:val="single"/>
        </w:rPr>
        <w:t>Legal Holidays.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Legal Holiday</w:t>
      </w:r>
      <w:r>
        <w:rPr>
          <w:rFonts w:ascii="Times New Roman" w:hAnsi="Times New Roman"/>
          <w:sz w:val="20"/>
        </w:rPr>
        <w:t>” is a Saturday, a Sunday, a legal holiday or a day on which banking institutions in New York, New York are not required to be open. If a payment date is a Legal Holiday, payment may be made on the next succeeding day that is not a Legal Holiday, and no interest shall accrue for the intervening period. If this Indenture provides for a time period that ends or requires performance of any non-payment obligation by a day that is not a Business Day, then such time period shall instead be deemed to end on, and such obligation shall instead be performed by, the next succeeding Business Day. A “</w:t>
      </w:r>
      <w:r>
        <w:rPr>
          <w:rFonts w:ascii="Times New Roman" w:hAnsi="Times New Roman"/>
          <w:b/>
          <w:sz w:val="20"/>
        </w:rPr>
        <w:t>Business Day</w:t>
      </w:r>
      <w:r>
        <w:rPr>
          <w:rFonts w:ascii="Times New Roman" w:hAnsi="Times New Roman"/>
          <w:sz w:val="20"/>
        </w:rPr>
        <w:t xml:space="preserve">” is any day other than a Legal Holiday.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12.08 </w:t>
      </w:r>
      <w:r>
        <w:rPr>
          <w:rFonts w:ascii="Times New Roman" w:hAnsi="Times New Roman"/>
          <w:b/>
          <w:sz w:val="20"/>
          <w:u w:val="single"/>
        </w:rPr>
        <w:t>Governing Law.</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laws of the State of New York shall govern this Indenture and the Securities of each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12.09 </w:t>
      </w:r>
      <w:r>
        <w:rPr>
          <w:rFonts w:ascii="Times New Roman" w:hAnsi="Times New Roman"/>
          <w:b/>
          <w:sz w:val="20"/>
          <w:u w:val="single"/>
        </w:rPr>
        <w:t>No Adverse Interpretation of Other Agreements.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Any such indenture, loan or debt agreement may not be used to interpret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12.10 </w:t>
      </w:r>
      <w:r>
        <w:rPr>
          <w:rFonts w:ascii="Times New Roman" w:hAnsi="Times New Roman"/>
          <w:b/>
          <w:sz w:val="20"/>
          <w:u w:val="single"/>
        </w:rPr>
        <w:t>No Recourse Against Others.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liability described in </w:t>
      </w:r>
      <w:r>
        <w:rPr>
          <w:rFonts w:ascii="Times New Roman" w:hAnsi="Times New Roman"/>
          <w:sz w:val="20"/>
          <w:u w:val="single"/>
        </w:rPr>
        <w:t>Paragraph 12</w:t>
      </w:r>
      <w:r>
        <w:rPr>
          <w:rFonts w:ascii="Times New Roman" w:hAnsi="Times New Roman"/>
          <w:sz w:val="20"/>
        </w:rPr>
        <w:t xml:space="preserve"> of the Securities of any director, officer, employee or stockholder, as such, of the Company is, to the fullest extent permitted by applicable law, waived and released.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12.11 </w:t>
      </w:r>
      <w:r>
        <w:rPr>
          <w:rFonts w:ascii="Times New Roman" w:hAnsi="Times New Roman"/>
          <w:b/>
          <w:sz w:val="20"/>
          <w:u w:val="single"/>
        </w:rPr>
        <w:t>Successors and Assigns.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and agreements of the Company in this Indenture and the Securities shall bind its successors and assigns. All agreements of the Trustee in this Indenture shall bind its successors and assigns.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12.12 </w:t>
      </w:r>
      <w:r>
        <w:rPr>
          <w:rFonts w:ascii="Times New Roman" w:hAnsi="Times New Roman"/>
          <w:b/>
          <w:sz w:val="20"/>
          <w:u w:val="single"/>
        </w:rPr>
        <w:t>Duplicate Originals.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this Indenture. Each signed copy shall be an original, but all of them together represent the same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12.13 </w:t>
      </w:r>
      <w:r>
        <w:rPr>
          <w:rFonts w:ascii="Times New Roman" w:hAnsi="Times New Roman"/>
          <w:b/>
          <w:sz w:val="20"/>
          <w:u w:val="single"/>
        </w:rPr>
        <w:t>Severability.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 Series shall for any reason be held to be invalid, illegal or unenforceable in any respect, such invalidity, illegality or unenforceability shall not affect any other provisions of this Indenture or of such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12.14 </w:t>
      </w:r>
      <w:r>
        <w:rPr>
          <w:rFonts w:ascii="Times New Roman" w:hAnsi="Times New Roman"/>
          <w:b/>
          <w:sz w:val="20"/>
          <w:u w:val="single"/>
        </w:rPr>
        <w:t>Waiver of Jury Trial.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THE COMPANY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caused this Indenture to be duly executed, all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88"/>
        <w:gridCol w:w="284"/>
        <w:gridCol w:w="2310"/>
      </w:tblGrid>
      <w:tr>
        <w:trPr/>
        <w:tc>
          <w:tcPr>
            <w:tcW w:w="1488"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DIANTHUS THERAPEUTICS, INC.</w:t>
            </w:r>
          </w:p>
        </w:tc>
      </w:tr>
      <w:tr>
        <w:trPr>
          <w:trHeight w:val="240" w:hRule="atLeast"/>
        </w:trPr>
        <w:tc>
          <w:tcPr>
            <w:tcW w:w="1488" w:type="dxa"/>
            <w:tcBorders/>
            <w:vAlign w:val="center"/>
          </w:tcPr>
          <w:p>
            <w:pPr>
              <w:pStyle w:val="TableContents"/>
              <w:bidi w:val="0"/>
              <w:spacing w:before="0" w:after="283"/>
              <w:jc w:val="left"/>
              <w:rPr>
                <w:sz w:val="4"/>
                <w:szCs w:val="4"/>
              </w:rPr>
            </w:pPr>
            <w:r>
              <w:rPr>
                <w:sz w:val="4"/>
                <w:szCs w:val="4"/>
              </w:rPr>
            </w:r>
          </w:p>
        </w:tc>
        <w:tc>
          <w:tcPr>
            <w:tcW w:w="2594" w:type="dxa"/>
            <w:gridSpan w:val="2"/>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pPr>
            <w:r>
              <w:rPr/>
              <w:t>By:</w:t>
            </w:r>
          </w:p>
        </w:tc>
        <w:tc>
          <w:tcPr>
            <w:tcW w:w="284" w:type="dxa"/>
            <w:tcBorders/>
            <w:vAlign w:val="bottom"/>
          </w:tcPr>
          <w:p>
            <w:pPr>
              <w:pStyle w:val="TableContents"/>
              <w:bidi w:val="0"/>
              <w:spacing w:before="0" w:after="283"/>
              <w:jc w:val="left"/>
              <w:rPr/>
            </w:pPr>
            <w:r>
              <w:rPr/>
              <w:t> </w:t>
            </w:r>
          </w:p>
        </w:tc>
        <w:tc>
          <w:tcPr>
            <w:tcW w:w="231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 as Trustee</w:t>
            </w:r>
          </w:p>
        </w:tc>
      </w:tr>
      <w:tr>
        <w:trPr>
          <w:trHeight w:val="240" w:hRule="atLeast"/>
        </w:trPr>
        <w:tc>
          <w:tcPr>
            <w:tcW w:w="1488" w:type="dxa"/>
            <w:tcBorders/>
            <w:vAlign w:val="center"/>
          </w:tcPr>
          <w:p>
            <w:pPr>
              <w:pStyle w:val="TableContents"/>
              <w:bidi w:val="0"/>
              <w:spacing w:before="0" w:after="283"/>
              <w:jc w:val="left"/>
              <w:rPr>
                <w:sz w:val="4"/>
                <w:szCs w:val="4"/>
              </w:rPr>
            </w:pPr>
            <w:r>
              <w:rPr>
                <w:sz w:val="4"/>
                <w:szCs w:val="4"/>
              </w:rPr>
            </w:r>
          </w:p>
        </w:tc>
        <w:tc>
          <w:tcPr>
            <w:tcW w:w="2594" w:type="dxa"/>
            <w:gridSpan w:val="2"/>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pPr>
            <w:r>
              <w:rPr/>
              <w:t>By:</w:t>
            </w:r>
          </w:p>
        </w:tc>
        <w:tc>
          <w:tcPr>
            <w:tcW w:w="284" w:type="dxa"/>
            <w:tcBorders/>
            <w:vAlign w:val="bottom"/>
          </w:tcPr>
          <w:p>
            <w:pPr>
              <w:pStyle w:val="TableContents"/>
              <w:bidi w:val="0"/>
              <w:spacing w:before="0" w:after="283"/>
              <w:jc w:val="left"/>
              <w:rPr/>
            </w:pPr>
            <w:r>
              <w:rPr/>
              <w:t> </w:t>
            </w:r>
          </w:p>
        </w:tc>
        <w:tc>
          <w:tcPr>
            <w:tcW w:w="231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tbl>
      <w:tblPr>
        <w:tblW w:w="5000" w:type="pct"/>
        <w:jc w:val="center"/>
        <w:tblInd w:w="0" w:type="dxa"/>
        <w:tblLayout w:type="fixed"/>
        <w:tblCellMar>
          <w:top w:w="0" w:type="dxa"/>
          <w:left w:w="0" w:type="dxa"/>
          <w:bottom w:w="0" w:type="dxa"/>
          <w:right w:w="0" w:type="dxa"/>
        </w:tblCellMar>
      </w:tblPr>
      <w:tblGrid>
        <w:gridCol w:w="4433"/>
        <w:gridCol w:w="126"/>
        <w:gridCol w:w="2845"/>
        <w:gridCol w:w="126"/>
        <w:gridCol w:w="2675"/>
      </w:tblGrid>
      <w:tr>
        <w:trPr/>
        <w:tc>
          <w:tcPr>
            <w:tcW w:w="443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4433" w:type="dxa"/>
            <w:tcBorders/>
          </w:tcPr>
          <w:p>
            <w:pPr>
              <w:pStyle w:val="TableContents"/>
              <w:bidi w:val="0"/>
              <w:spacing w:before="0" w:after="283"/>
              <w:jc w:val="left"/>
              <w:rPr/>
            </w:pPr>
            <w:r>
              <w:rPr/>
              <w:t>No.</w:t>
            </w:r>
          </w:p>
        </w:tc>
        <w:tc>
          <w:tcPr>
            <w:tcW w:w="126" w:type="dxa"/>
            <w:tcBorders/>
            <w:vAlign w:val="bottom"/>
          </w:tcPr>
          <w:p>
            <w:pPr>
              <w:pStyle w:val="TableContents"/>
              <w:bidi w:val="0"/>
              <w:spacing w:before="0" w:after="283"/>
              <w:jc w:val="left"/>
              <w:rPr/>
            </w:pPr>
            <w:r>
              <w:rPr/>
              <w:t>  </w:t>
            </w:r>
          </w:p>
        </w:tc>
        <w:tc>
          <w:tcPr>
            <w:tcW w:w="2845" w:type="dxa"/>
            <w:tcBorders/>
          </w:tcPr>
          <w:p>
            <w:pPr>
              <w:pStyle w:val="TableContents"/>
              <w:bidi w:val="0"/>
              <w:spacing w:before="0" w:after="283"/>
              <w:jc w:val="left"/>
              <w:rPr/>
            </w:pPr>
            <w:r>
              <w:rPr/>
              <w:t>CUSIP/ISIN No.:</w:t>
            </w:r>
          </w:p>
        </w:tc>
        <w:tc>
          <w:tcPr>
            <w:tcW w:w="126" w:type="dxa"/>
            <w:tcBorders/>
            <w:vAlign w:val="bottom"/>
          </w:tcPr>
          <w:p>
            <w:pPr>
              <w:pStyle w:val="TableContents"/>
              <w:bidi w:val="0"/>
              <w:spacing w:before="0" w:after="283"/>
              <w:jc w:val="left"/>
              <w:rPr/>
            </w:pPr>
            <w:r>
              <w:rPr/>
              <w:t>  </w:t>
            </w:r>
          </w:p>
        </w:tc>
        <w:tc>
          <w:tcPr>
            <w:tcW w:w="267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[Title of Security] </w:t>
      </w:r>
    </w:p>
    <w:p>
      <w:pPr>
        <w:pStyle w:val="TextBody"/>
        <w:bidi w:val="0"/>
        <w:spacing w:before="240" w:after="0"/>
        <w:jc w:val="center"/>
        <w:rPr>
          <w:rFonts w:ascii="Times New Roman" w:hAnsi="Times New Roman"/>
          <w:b/>
          <w:sz w:val="20"/>
        </w:rPr>
      </w:pPr>
      <w:r>
        <w:rPr>
          <w:rFonts w:ascii="Times New Roman" w:hAnsi="Times New Roman"/>
          <w:b/>
          <w:sz w:val="20"/>
        </w:rPr>
        <w:t xml:space="preserve">DIANTHUS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or registered assigns the principal sum of [Dollars]* on      .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and </w:t>
      </w:r>
    </w:p>
    <w:p>
      <w:pPr>
        <w:pStyle w:val="TextBody"/>
        <w:bidi w:val="0"/>
        <w:spacing w:before="240" w:after="0"/>
        <w:jc w:val="left"/>
        <w:rPr>
          <w:rFonts w:ascii="Times New Roman" w:hAnsi="Times New Roman"/>
          <w:sz w:val="20"/>
        </w:rPr>
      </w:pPr>
      <w:r>
        <w:rPr>
          <w:rFonts w:ascii="Times New Roman" w:hAnsi="Times New Roman"/>
          <w:sz w:val="20"/>
        </w:rPr>
        <w:t xml:space="preserve">Record Dates: and </w:t>
      </w:r>
    </w:p>
    <w:p>
      <w:pPr>
        <w:pStyle w:val="TextBody"/>
        <w:bidi w:val="0"/>
        <w:spacing w:before="240" w:after="0"/>
        <w:jc w:val="left"/>
        <w:rPr>
          <w:rFonts w:ascii="Times New Roman" w:hAnsi="Times New Roman"/>
          <w:sz w:val="20"/>
        </w:rPr>
      </w:pPr>
      <w:r>
        <w:rPr>
          <w:rFonts w:ascii="Times New Roman" w:hAnsi="Times New Roman"/>
          <w:sz w:val="20"/>
        </w:rPr>
        <w:t xml:space="preserve">Authenticated: 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88"/>
        <w:gridCol w:w="284"/>
        <w:gridCol w:w="2310"/>
      </w:tblGrid>
      <w:tr>
        <w:trPr/>
        <w:tc>
          <w:tcPr>
            <w:tcW w:w="1488"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DIANTHUS THERAPEUTICS, INC.</w:t>
            </w:r>
          </w:p>
        </w:tc>
      </w:tr>
      <w:tr>
        <w:trPr>
          <w:trHeight w:val="240" w:hRule="atLeast"/>
        </w:trPr>
        <w:tc>
          <w:tcPr>
            <w:tcW w:w="1488" w:type="dxa"/>
            <w:tcBorders/>
            <w:vAlign w:val="center"/>
          </w:tcPr>
          <w:p>
            <w:pPr>
              <w:pStyle w:val="TableContents"/>
              <w:bidi w:val="0"/>
              <w:spacing w:before="0" w:after="283"/>
              <w:jc w:val="left"/>
              <w:rPr>
                <w:sz w:val="4"/>
                <w:szCs w:val="4"/>
              </w:rPr>
            </w:pPr>
            <w:r>
              <w:rPr>
                <w:sz w:val="4"/>
                <w:szCs w:val="4"/>
              </w:rPr>
            </w:r>
          </w:p>
        </w:tc>
        <w:tc>
          <w:tcPr>
            <w:tcW w:w="2594" w:type="dxa"/>
            <w:gridSpan w:val="2"/>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pPr>
            <w:r>
              <w:rPr/>
              <w:t>By:</w:t>
            </w:r>
          </w:p>
        </w:tc>
        <w:tc>
          <w:tcPr>
            <w:tcW w:w="284" w:type="dxa"/>
            <w:tcBorders/>
            <w:vAlign w:val="bottom"/>
          </w:tcPr>
          <w:p>
            <w:pPr>
              <w:pStyle w:val="TableContents"/>
              <w:bidi w:val="0"/>
              <w:spacing w:before="0" w:after="283"/>
              <w:jc w:val="left"/>
              <w:rPr/>
            </w:pPr>
            <w:r>
              <w:rPr/>
              <w:t> </w:t>
            </w:r>
          </w:p>
        </w:tc>
        <w:tc>
          <w:tcPr>
            <w:tcW w:w="231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as Trustee, certifies that this is one of the Securities</w:t>
            </w:r>
          </w:p>
          <w:p>
            <w:pPr>
              <w:pStyle w:val="TableContents"/>
              <w:bidi w:val="0"/>
              <w:spacing w:before="0" w:after="20"/>
              <w:jc w:val="left"/>
              <w:rPr>
                <w:rFonts w:ascii="Times New Roman" w:hAnsi="Times New Roman"/>
                <w:sz w:val="20"/>
              </w:rPr>
            </w:pPr>
            <w:r>
              <w:rPr>
                <w:rFonts w:ascii="Times New Roman" w:hAnsi="Times New Roman"/>
                <w:sz w:val="20"/>
              </w:rPr>
              <w:t>referred to in the within mentioned Indenture.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other currency. Insert corresponding provisions on reverse side of Security in respect of foreign currency denomination or interest payment requirement.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DIANTHUS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[Title of Security] </w:t>
      </w:r>
    </w:p>
    <w:p>
      <w:pPr>
        <w:pStyle w:val="TextBody"/>
        <w:bidi w:val="0"/>
        <w:spacing w:before="240" w:after="0"/>
        <w:jc w:val="left"/>
        <w:rPr>
          <w:rFonts w:ascii="Times New Roman" w:hAnsi="Times New Roman"/>
          <w:sz w:val="20"/>
        </w:rPr>
      </w:pPr>
      <w:r>
        <w:rPr>
          <w:rFonts w:ascii="Times New Roman" w:hAnsi="Times New Roman"/>
          <w:sz w:val="20"/>
        </w:rPr>
        <w:t>DIANTHUS THERAPEUTICS, INC., a Delaware corporation (together with its successors and assigns, the “</w:t>
      </w:r>
      <w:r>
        <w:rPr>
          <w:rFonts w:ascii="Times New Roman" w:hAnsi="Times New Roman"/>
          <w:b/>
          <w:sz w:val="20"/>
        </w:rPr>
        <w:t>Company</w:t>
      </w:r>
      <w:r>
        <w:rPr>
          <w:rFonts w:ascii="Times New Roman" w:hAnsi="Times New Roman"/>
          <w:sz w:val="20"/>
        </w:rPr>
        <w:t>”), issued this Security under an Indenture dated as of (as amended, modified or supplemented from time to time in accordance therewith, the “</w:t>
      </w:r>
      <w:r>
        <w:rPr>
          <w:rFonts w:ascii="Times New Roman" w:hAnsi="Times New Roman"/>
          <w:b/>
          <w:sz w:val="20"/>
        </w:rPr>
        <w:t>Base Indenture</w:t>
      </w:r>
      <w:r>
        <w:rPr>
          <w:rFonts w:ascii="Times New Roman" w:hAnsi="Times New Roman"/>
          <w:sz w:val="20"/>
        </w:rPr>
        <w:t>”), as supplemented by the Supplemental Indenture dated as of (the “</w:t>
      </w:r>
      <w:r>
        <w:rPr>
          <w:rFonts w:ascii="Times New Roman" w:hAnsi="Times New Roman"/>
          <w:b/>
          <w:sz w:val="20"/>
        </w:rPr>
        <w:t>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by and among the Company and [ ], as trustee (in such capacity, the “</w:t>
      </w:r>
      <w:r>
        <w:rPr>
          <w:rFonts w:ascii="Times New Roman" w:hAnsi="Times New Roman"/>
          <w:b/>
          <w:sz w:val="20"/>
        </w:rPr>
        <w:t>Trustee</w:t>
      </w:r>
      <w:r>
        <w:rPr>
          <w:rFonts w:ascii="Times New Roman" w:hAnsi="Times New Roman"/>
          <w:sz w:val="20"/>
        </w:rPr>
        <w:t xml:space="preserve">”), to which reference is hereby made for a statement of the respective rights, obligations, duties and immunities thereunder of the Company, the Trustee and the Holders and of the terms upon which the Securities are, and are to be, authorized and delivered. All terms used in this Security that are defined in the Indenture shall have the meanings assigned to them therein. </w:t>
      </w:r>
    </w:p>
    <w:p>
      <w:pPr>
        <w:pStyle w:val="TextBody"/>
        <w:bidi w:val="0"/>
        <w:spacing w:before="120" w:after="0"/>
        <w:jc w:val="left"/>
        <w:rPr>
          <w:rFonts w:ascii="Times New Roman" w:hAnsi="Times New Roman"/>
          <w:sz w:val="20"/>
        </w:rPr>
      </w:pPr>
      <w:r>
        <w:rPr>
          <w:rFonts w:ascii="Times New Roman" w:hAnsi="Times New Roman"/>
          <w:b/>
          <w:sz w:val="20"/>
        </w:rPr>
        <w:t xml:space="preserve">1. </w:t>
      </w:r>
      <w:r>
        <w:rPr>
          <w:rFonts w:ascii="Times New Roman" w:hAnsi="Times New Roman"/>
          <w:b/>
          <w:sz w:val="20"/>
          <w:u w:val="single"/>
        </w:rPr>
        <w:t>Interest</w:t>
      </w:r>
      <w:r>
        <w:rPr>
          <w:rFonts w:ascii="Times New Roman" w:hAnsi="Times New Roman"/>
          <w:b/>
          <w:sz w:val="20"/>
        </w:rPr>
        <w:t>.</w:t>
      </w:r>
      <w:r>
        <w:rPr>
          <w:rFonts w:ascii="Times New Roman" w:hAnsi="Times New Roman"/>
          <w:sz w:val="20"/>
        </w:rPr>
        <w:t xml:space="preserve"> The Company promises to pay interest on the principal amount of this Security at the rate per annum shown above. The Company will pay interest semiannually on    and   of each year, commencing     ,     , until the principal is paid or made available for payment. Interest on the Securities will accrue from the most recent date to which interest has been paid or duly provided for or, if no interest has been paid, from     . Interest will be computed on the basis of a 360-day year of twelve 30-day months. </w:t>
      </w:r>
    </w:p>
    <w:p>
      <w:pPr>
        <w:pStyle w:val="TextBody"/>
        <w:bidi w:val="0"/>
        <w:spacing w:before="120" w:after="0"/>
        <w:jc w:val="left"/>
        <w:rPr>
          <w:rFonts w:ascii="Times New Roman" w:hAnsi="Times New Roman"/>
          <w:sz w:val="20"/>
        </w:rPr>
      </w:pPr>
      <w:r>
        <w:rPr>
          <w:rFonts w:ascii="Times New Roman" w:hAnsi="Times New Roman"/>
          <w:b/>
          <w:sz w:val="20"/>
        </w:rPr>
        <w:t xml:space="preserve">2. </w:t>
      </w:r>
      <w:r>
        <w:rPr>
          <w:rFonts w:ascii="Times New Roman" w:hAnsi="Times New Roman"/>
          <w:b/>
          <w:sz w:val="20"/>
          <w:u w:val="single"/>
        </w:rPr>
        <w:t>Method of Payment</w:t>
      </w:r>
      <w:r>
        <w:rPr>
          <w:rFonts w:ascii="Times New Roman" w:hAnsi="Times New Roman"/>
          <w:b/>
          <w:sz w:val="20"/>
        </w:rPr>
        <w:t>.</w:t>
      </w:r>
      <w:r>
        <w:rPr>
          <w:rFonts w:ascii="Times New Roman" w:hAnsi="Times New Roman"/>
          <w:sz w:val="20"/>
        </w:rPr>
        <w:t xml:space="preserve"> The Company will pay interest on the Securities (except defaulted interest, if any, which will be paid on such special payment date to Holders of record on such special record date as may be fixed by the Company) to the persons who are registered Holders of Securities at the close of business on the [Insert record dates] immediately preceding the interest payment date. Holders must surrender Securities to a Paying Agent to collect principal payments. The Company will pay principal and interest in money of [Insert applicable country or currency] that at the time of payment is legal tender for payment of public and private debts. </w:t>
      </w:r>
    </w:p>
    <w:p>
      <w:pPr>
        <w:pStyle w:val="TextBody"/>
        <w:bidi w:val="0"/>
        <w:spacing w:before="120" w:after="0"/>
        <w:jc w:val="left"/>
        <w:rPr>
          <w:rFonts w:ascii="Times New Roman" w:hAnsi="Times New Roman"/>
          <w:sz w:val="20"/>
        </w:rPr>
      </w:pPr>
      <w:r>
        <w:rPr>
          <w:rFonts w:ascii="Times New Roman" w:hAnsi="Times New Roman"/>
          <w:b/>
          <w:sz w:val="20"/>
        </w:rPr>
        <w:t xml:space="preserve">3. </w:t>
      </w:r>
      <w:r>
        <w:rPr>
          <w:rFonts w:ascii="Times New Roman" w:hAnsi="Times New Roman"/>
          <w:b/>
          <w:sz w:val="20"/>
          <w:u w:val="single"/>
        </w:rPr>
        <w:t>Paying Agent and Registrar</w:t>
      </w:r>
      <w:r>
        <w:rPr>
          <w:rFonts w:ascii="Times New Roman" w:hAnsi="Times New Roman"/>
          <w:b/>
          <w:sz w:val="20"/>
        </w:rPr>
        <w:t>.</w:t>
      </w:r>
      <w:r>
        <w:rPr>
          <w:rFonts w:ascii="Times New Roman" w:hAnsi="Times New Roman"/>
          <w:sz w:val="20"/>
        </w:rPr>
        <w:t xml:space="preserve"> Initially, the Trustee will act as Paying Agent and Registrar. The Company may change or appoint any Paying Agent, Registrar or co-Registrar without notice. The Company or any of its Subsidiaries or any of their Affiliates may act as Paying Agent, Registrar or co-Registrar. </w:t>
      </w:r>
    </w:p>
    <w:p>
      <w:pPr>
        <w:pStyle w:val="TextBody"/>
        <w:bidi w:val="0"/>
        <w:spacing w:before="12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Optional Redemption</w:t>
      </w:r>
      <w:r>
        <w:rPr>
          <w:rFonts w:ascii="Times New Roman" w:hAnsi="Times New Roman"/>
          <w:b/>
          <w:sz w:val="20"/>
        </w:rPr>
        <w:t>.1</w:t>
      </w:r>
      <w:r>
        <w:rPr>
          <w:rFonts w:ascii="Times New Roman" w:hAnsi="Times New Roman"/>
          <w:sz w:val="20"/>
        </w:rPr>
        <w:t xml:space="preserve"> The Company may redeem the Securities at any time on or after     , in whole or in part, at the following redemption prices (expressed as a percentage of their principal amount) together with interest accrued and unpaid to the date fixed for redemption: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9"/>
        <w:gridCol w:w="744"/>
        <w:gridCol w:w="572"/>
        <w:gridCol w:w="573"/>
        <w:gridCol w:w="61"/>
      </w:tblGrid>
      <w:tr>
        <w:trPr/>
        <w:tc>
          <w:tcPr>
            <w:tcW w:w="4989" w:type="dxa"/>
            <w:tcBorders/>
            <w:vAlign w:val="center"/>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9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If redeemed during the twelve-month period</w:t>
            </w:r>
          </w:p>
          <w:p>
            <w:pPr>
              <w:pStyle w:val="TableContents"/>
              <w:bidi w:val="0"/>
              <w:spacing w:before="0" w:after="0"/>
              <w:jc w:val="left"/>
              <w:rPr>
                <w:rFonts w:ascii="Times New Roman" w:hAnsi="Times New Roman"/>
                <w:b/>
                <w:sz w:val="16"/>
              </w:rPr>
            </w:pPr>
            <w:r>
              <w:rPr>
                <w:rFonts w:ascii="Times New Roman" w:hAnsi="Times New Roman"/>
                <w:b/>
                <w:sz w:val="16"/>
              </w:rPr>
              <w:t>commencing on and ending on in each of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the following years</w:t>
            </w:r>
          </w:p>
        </w:tc>
        <w:tc>
          <w:tcPr>
            <w:tcW w:w="744"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1"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283"/>
              <w:jc w:val="left"/>
              <w:rPr>
                <w:sz w:val="4"/>
                <w:szCs w:val="4"/>
              </w:rPr>
            </w:pPr>
            <w:r>
              <w:rPr>
                <w:sz w:val="4"/>
                <w:szCs w:val="4"/>
              </w:rPr>
            </w:r>
          </w:p>
        </w:tc>
        <w:tc>
          <w:tcPr>
            <w:tcW w:w="74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989" w:type="dxa"/>
            <w:tcBorders/>
            <w:vAlign w:val="bottom"/>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[Insert provisions relating to redemption at option of Holders, if any]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will be mailed at least 30 days but not more than 60 days before the redemption date to each Holder of Securities to be redeemed at its registered address. Securities in denominations larger than 2 may be redeemed in part. On and after the redemption date interest ceases to accrue on Securities or portions of them called for redemption, </w:t>
      </w:r>
      <w:r>
        <w:rPr>
          <w:rFonts w:ascii="Times New Roman" w:hAnsi="Times New Roman"/>
          <w:i/>
          <w:sz w:val="20"/>
        </w:rPr>
        <w:t>provided</w:t>
      </w:r>
      <w:r>
        <w:rPr>
          <w:rFonts w:ascii="Times New Roman" w:hAnsi="Times New Roman"/>
          <w:sz w:val="20"/>
        </w:rPr>
        <w:t xml:space="preserve"> that if the Company shall default in the payment of such Securities at the redemption price together with accrued interest, interest shall continue to accrue at the rate borne by the Securities.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applicable denominations and multiples.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Mandatory Redemption</w:t>
      </w:r>
      <w:r>
        <w:rPr>
          <w:rFonts w:ascii="Times New Roman" w:hAnsi="Times New Roman"/>
          <w:b/>
          <w:sz w:val="20"/>
        </w:rPr>
        <w:t>.3</w:t>
      </w:r>
      <w:r>
        <w:rPr>
          <w:rFonts w:ascii="Times New Roman" w:hAnsi="Times New Roman"/>
          <w:sz w:val="20"/>
        </w:rPr>
        <w:t xml:space="preserve"> The Company shall redeem [   ]% of the aggregate principal amount of Securities originally issued under the Indenture on each of [    ], which redemptions are calculated to retire [    ]% of the Securities originally issued prior to maturity. Such redemptions shall be made at a redemption price equal to 100% of the principal amount thereof, together with accrued interest to the redemption date. The Company may reduce the principal amount of Securities to be redeemed pursuant to this </w:t>
      </w:r>
      <w:r>
        <w:rPr>
          <w:rFonts w:ascii="Times New Roman" w:hAnsi="Times New Roman"/>
          <w:sz w:val="20"/>
          <w:u w:val="single"/>
        </w:rPr>
        <w:t>Paragraph 5</w:t>
      </w:r>
      <w:r>
        <w:rPr>
          <w:rFonts w:ascii="Times New Roman" w:hAnsi="Times New Roman"/>
          <w:sz w:val="20"/>
        </w:rPr>
        <w:t xml:space="preserve"> by the principal amount of any Securities previously redeemed, retired or acquired, otherwise than pursuant to this </w:t>
      </w:r>
      <w:r>
        <w:rPr>
          <w:rFonts w:ascii="Times New Roman" w:hAnsi="Times New Roman"/>
          <w:sz w:val="20"/>
          <w:u w:val="single"/>
        </w:rPr>
        <w:t>Paragraph 5</w:t>
      </w:r>
      <w:r>
        <w:rPr>
          <w:rFonts w:ascii="Times New Roman" w:hAnsi="Times New Roman"/>
          <w:sz w:val="20"/>
        </w:rPr>
        <w:t xml:space="preserve">, that the Company has delivered to the Trustee for cancellation and not previously credited to the Company’s obligations under this </w:t>
      </w:r>
      <w:r>
        <w:rPr>
          <w:rFonts w:ascii="Times New Roman" w:hAnsi="Times New Roman"/>
          <w:sz w:val="20"/>
          <w:u w:val="single"/>
        </w:rPr>
        <w:t>Paragraph 5</w:t>
      </w:r>
      <w:r>
        <w:rPr>
          <w:rFonts w:ascii="Times New Roman" w:hAnsi="Times New Roman"/>
          <w:sz w:val="20"/>
        </w:rPr>
        <w:t xml:space="preserve">. Each such Security shall be received and credited for such purpose by the Trustee at the redemption price and the amount of such mandatory redemption payment shall be reduced accordingly. </w:t>
      </w:r>
    </w:p>
    <w:p>
      <w:pPr>
        <w:pStyle w:val="TextBody"/>
        <w:bidi w:val="0"/>
        <w:spacing w:before="12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Denominations, Transfer, Exchange</w:t>
      </w:r>
      <w:r>
        <w:rPr>
          <w:rFonts w:ascii="Times New Roman" w:hAnsi="Times New Roman"/>
          <w:b/>
          <w:sz w:val="20"/>
        </w:rPr>
        <w:t>.</w:t>
      </w:r>
      <w:r>
        <w:rPr>
          <w:rFonts w:ascii="Times New Roman" w:hAnsi="Times New Roman"/>
          <w:sz w:val="20"/>
        </w:rPr>
        <w:t xml:space="preserve"> The Securities are in registered form only without coupons in denominations of    4 and integral multiples of    in excess thereof.5 A Holder may transfer or exchange Securities by presentation of such Securities to the Registrar or a co-Registrar with a request to register the transfer or to exchange them for an equal principal amount of Securities of other denominations. The Registrar may require a Holder, among other things, to furnish appropriate endorsements and transfer documents and to pay any taxes and fees required by law or permitted by the Indenture. The Registrar need not transfer or exchange any Security selected for redemption or purchase, except the unredeemed or unpurchased part thereof if the Security is redeemed or purchased in part, or transfer or exchange any Securities for a period of 15 days before a selection of Securities to be redeemed or purchased. </w:t>
      </w:r>
    </w:p>
    <w:p>
      <w:pPr>
        <w:pStyle w:val="TextBody"/>
        <w:bidi w:val="0"/>
        <w:spacing w:before="12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Persons Deemed Owners</w:t>
      </w:r>
      <w:r>
        <w:rPr>
          <w:rFonts w:ascii="Times New Roman" w:hAnsi="Times New Roman"/>
          <w:b/>
          <w:sz w:val="20"/>
        </w:rPr>
        <w:t>.</w:t>
      </w:r>
      <w:r>
        <w:rPr>
          <w:rFonts w:ascii="Times New Roman" w:hAnsi="Times New Roman"/>
          <w:sz w:val="20"/>
        </w:rPr>
        <w:t xml:space="preserve"> The registered Holder of this Security shall be treated as the owner of it for all purposes. </w:t>
      </w:r>
    </w:p>
    <w:p>
      <w:pPr>
        <w:pStyle w:val="TextBody"/>
        <w:bidi w:val="0"/>
        <w:spacing w:before="12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Unclaimed Money</w:t>
      </w:r>
      <w:r>
        <w:rPr>
          <w:rFonts w:ascii="Times New Roman" w:hAnsi="Times New Roman"/>
          <w:b/>
          <w:sz w:val="20"/>
        </w:rPr>
        <w:t>.</w:t>
      </w:r>
      <w:r>
        <w:rPr>
          <w:rFonts w:ascii="Times New Roman" w:hAnsi="Times New Roman"/>
          <w:sz w:val="20"/>
        </w:rPr>
        <w:t xml:space="preserve"> Subject to any applicable abandoned property law, the Trustee and the Paying Agent shall pay to the Company upon written request any money held by them for the payment of principal or interest that remains unclaimed for two years, and thereafter, Holders entitled to the money must look to the Company for payment as general creditors. </w:t>
      </w:r>
    </w:p>
    <w:p>
      <w:pPr>
        <w:pStyle w:val="TextBody"/>
        <w:bidi w:val="0"/>
        <w:spacing w:before="120" w:after="0"/>
        <w:jc w:val="left"/>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Amendment, Supplement, Waiver</w:t>
      </w:r>
      <w:r>
        <w:rPr>
          <w:rFonts w:ascii="Times New Roman" w:hAnsi="Times New Roman"/>
          <w:b/>
          <w:sz w:val="20"/>
        </w:rPr>
        <w:t>.</w:t>
      </w:r>
      <w:r>
        <w:rPr>
          <w:rFonts w:ascii="Times New Roman" w:hAnsi="Times New Roman"/>
          <w:sz w:val="20"/>
        </w:rPr>
        <w:t xml:space="preserve"> Subject to certain exceptions, the Indenture or the Securities of a Series may be amended or supplemented with the consent of the Holders of at least a majority in principal amount of the outstanding Securities of such Series and any past default or compliance with any provision relating to any Series of the Securities may be waived in a particular instance with the consent of the Holders of a majority in principal amount of the outstanding Securities of such Series.6 Without the consent of any Securityholder, the Company and the Trustee may amend or supplement the Indenture or the Securities in certain respects as specified in the Indenture. </w:t>
      </w:r>
    </w:p>
    <w:p>
      <w:pPr>
        <w:pStyle w:val="TextBody"/>
        <w:bidi w:val="0"/>
        <w:spacing w:before="120" w:after="0"/>
        <w:jc w:val="left"/>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Successor Corporation</w:t>
      </w:r>
      <w:r>
        <w:rPr>
          <w:rFonts w:ascii="Times New Roman" w:hAnsi="Times New Roman"/>
          <w:b/>
          <w:sz w:val="20"/>
        </w:rPr>
        <w:t>.</w:t>
      </w:r>
      <w:r>
        <w:rPr>
          <w:rFonts w:ascii="Times New Roman" w:hAnsi="Times New Roman"/>
          <w:sz w:val="20"/>
        </w:rPr>
        <w:t xml:space="preserve"> When a successor corporation assumes all the obligations of its predecessor under the Securities and the Indenture, the predecessor corporation will be released from those obligations. </w:t>
      </w:r>
    </w:p>
    <w:p>
      <w:pPr>
        <w:pStyle w:val="TextBody"/>
        <w:bidi w:val="0"/>
        <w:spacing w:before="120" w:after="0"/>
        <w:jc w:val="left"/>
        <w:rPr>
          <w:rFonts w:ascii="Times New Roman" w:hAnsi="Times New Roman"/>
          <w:sz w:val="20"/>
        </w:rPr>
      </w:pPr>
      <w:r>
        <w:rPr>
          <w:rFonts w:ascii="Times New Roman" w:hAnsi="Times New Roman"/>
          <w:b/>
          <w:sz w:val="20"/>
        </w:rPr>
        <w:t xml:space="preserve">11. </w:t>
      </w:r>
      <w:r>
        <w:rPr>
          <w:rFonts w:ascii="Times New Roman" w:hAnsi="Times New Roman"/>
          <w:b/>
          <w:sz w:val="20"/>
          <w:u w:val="single"/>
        </w:rPr>
        <w:t>Trustee Dealings With Company</w:t>
      </w:r>
      <w:r>
        <w:rPr>
          <w:rFonts w:ascii="Times New Roman" w:hAnsi="Times New Roman"/>
          <w:b/>
          <w:sz w:val="20"/>
        </w:rPr>
        <w:t>.</w:t>
      </w:r>
      <w:r>
        <w:rPr>
          <w:rFonts w:ascii="Times New Roman" w:hAnsi="Times New Roman"/>
          <w:sz w:val="20"/>
        </w:rPr>
        <w:t xml:space="preserve"> Subject to certain limitations imposed by the TIA, the Trustee under the Indenture, in its individual or any other capacity, may make loans to, accept deposits from, and perform services for the Company or its affiliates, and may otherwise deal with the Company or its affiliates, as if it were not Trustee, including owning or pledging the Securities. </w:t>
      </w:r>
    </w:p>
    <w:p>
      <w:pPr>
        <w:pStyle w:val="TextBody"/>
        <w:bidi w:val="0"/>
        <w:spacing w:before="120" w:after="0"/>
        <w:jc w:val="left"/>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No Recourse Against Others</w:t>
      </w:r>
      <w:r>
        <w:rPr>
          <w:rFonts w:ascii="Times New Roman" w:hAnsi="Times New Roman"/>
          <w:b/>
          <w:sz w:val="20"/>
        </w:rPr>
        <w:t>.</w:t>
      </w:r>
      <w:r>
        <w:rPr>
          <w:rFonts w:ascii="Times New Roman" w:hAnsi="Times New Roman"/>
          <w:sz w:val="20"/>
        </w:rPr>
        <w:t xml:space="preserve"> A director, officer, employee or stockholder,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 The waiver may not be effective to waive liabilities under the federal securities laws. </w:t>
      </w:r>
    </w:p>
    <w:p>
      <w:pPr>
        <w:pStyle w:val="TextBody"/>
        <w:bidi w:val="0"/>
        <w:spacing w:before="120" w:after="0"/>
        <w:jc w:val="left"/>
        <w:rPr>
          <w:rFonts w:ascii="Times New Roman" w:hAnsi="Times New Roman"/>
          <w:sz w:val="20"/>
        </w:rPr>
      </w:pPr>
      <w:r>
        <w:rPr>
          <w:rFonts w:ascii="Times New Roman" w:hAnsi="Times New Roman"/>
          <w:b/>
          <w:sz w:val="20"/>
        </w:rPr>
        <w:t xml:space="preserve">13. </w:t>
      </w:r>
      <w:r>
        <w:rPr>
          <w:rFonts w:ascii="Times New Roman" w:hAnsi="Times New Roman"/>
          <w:b/>
          <w:sz w:val="20"/>
          <w:u w:val="single"/>
        </w:rPr>
        <w:t>Discharge of Indenture</w:t>
      </w:r>
      <w:r>
        <w:rPr>
          <w:rFonts w:ascii="Times New Roman" w:hAnsi="Times New Roman"/>
          <w:b/>
          <w:sz w:val="20"/>
        </w:rPr>
        <w:t>.</w:t>
      </w:r>
      <w:r>
        <w:rPr>
          <w:rFonts w:ascii="Times New Roman" w:hAnsi="Times New Roman"/>
          <w:sz w:val="20"/>
        </w:rPr>
        <w:t xml:space="preserve"> The Indenture contains certain provisions pertaining to defeasance and discharge, which provisions shall for all purposes have the same effect as if set forth herein.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applicable denominations and multiples.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applicable denominations and multiples.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different terms apply, insert a brief summary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14. </w:t>
      </w:r>
      <w:r>
        <w:rPr>
          <w:rFonts w:ascii="Times New Roman" w:hAnsi="Times New Roman"/>
          <w:b/>
          <w:sz w:val="20"/>
          <w:u w:val="single"/>
        </w:rPr>
        <w:t>Authentication</w:t>
      </w:r>
      <w:r>
        <w:rPr>
          <w:rFonts w:ascii="Times New Roman" w:hAnsi="Times New Roman"/>
          <w:b/>
          <w:sz w:val="20"/>
        </w:rPr>
        <w:t>.</w:t>
      </w:r>
      <w:r>
        <w:rPr>
          <w:rFonts w:ascii="Times New Roman" w:hAnsi="Times New Roman"/>
          <w:sz w:val="20"/>
        </w:rPr>
        <w:t xml:space="preserve"> This Security shall not be valid until an authorized signatory of the Trustee signs the certificate of authentication on the other side of this Security. </w:t>
      </w:r>
    </w:p>
    <w:p>
      <w:pPr>
        <w:pStyle w:val="TextBody"/>
        <w:bidi w:val="0"/>
        <w:spacing w:before="120" w:after="0"/>
        <w:jc w:val="left"/>
        <w:rPr>
          <w:rFonts w:ascii="Times New Roman" w:hAnsi="Times New Roman"/>
          <w:sz w:val="20"/>
        </w:rPr>
      </w:pPr>
      <w:r>
        <w:rPr>
          <w:rFonts w:ascii="Times New Roman" w:hAnsi="Times New Roman"/>
          <w:b/>
          <w:sz w:val="20"/>
        </w:rPr>
        <w:t xml:space="preserve">15. </w:t>
      </w:r>
      <w:r>
        <w:rPr>
          <w:rFonts w:ascii="Times New Roman" w:hAnsi="Times New Roman"/>
          <w:b/>
          <w:sz w:val="20"/>
          <w:u w:val="single"/>
        </w:rPr>
        <w:t>Abbreviations</w:t>
      </w:r>
      <w:r>
        <w:rPr>
          <w:rFonts w:ascii="Times New Roman" w:hAnsi="Times New Roman"/>
          <w:b/>
          <w:sz w:val="20"/>
        </w:rPr>
        <w:t>.</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 to Minors Act). </w:t>
      </w:r>
    </w:p>
    <w:p>
      <w:pPr>
        <w:pStyle w:val="TextBody"/>
        <w:bidi w:val="0"/>
        <w:spacing w:before="120" w:after="0"/>
        <w:jc w:val="left"/>
        <w:rPr>
          <w:rFonts w:ascii="Times New Roman" w:hAnsi="Times New Roman"/>
          <w:sz w:val="20"/>
        </w:rPr>
      </w:pPr>
      <w:r>
        <w:rPr>
          <w:rFonts w:ascii="Times New Roman" w:hAnsi="Times New Roman"/>
          <w:b/>
          <w:sz w:val="20"/>
        </w:rPr>
        <w:t xml:space="preserve">16. </w:t>
      </w:r>
      <w:r>
        <w:rPr>
          <w:rFonts w:ascii="Times New Roman" w:hAnsi="Times New Roman"/>
          <w:b/>
          <w:sz w:val="20"/>
          <w:u w:val="single"/>
        </w:rPr>
        <w:t>GOVERNING LAW</w:t>
      </w:r>
      <w:r>
        <w:rPr>
          <w:rFonts w:ascii="Times New Roman" w:hAnsi="Times New Roman"/>
          <w:b/>
          <w:sz w:val="20"/>
        </w:rPr>
        <w:t>.</w:t>
      </w:r>
      <w:r>
        <w:rPr>
          <w:rFonts w:ascii="Times New Roman" w:hAnsi="Times New Roman"/>
          <w:sz w:val="20"/>
        </w:rPr>
        <w:t xml:space="preserve"> THIS SECURITY SHALL BE GOVERNED BY, AND CONSTRUED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b/>
          <w:sz w:val="20"/>
        </w:rPr>
        <w:t xml:space="preserve">17. </w:t>
      </w:r>
      <w:r>
        <w:rPr>
          <w:rFonts w:ascii="Times New Roman" w:hAnsi="Times New Roman"/>
          <w:b/>
          <w:sz w:val="20"/>
          <w:u w:val="single"/>
        </w:rPr>
        <w:t>CUSIP and ISIN Numbers</w:t>
      </w:r>
      <w:r>
        <w:rPr>
          <w:rFonts w:ascii="Times New Roman" w:hAnsi="Times New Roman"/>
          <w:b/>
          <w:sz w:val="20"/>
        </w:rPr>
        <w:t>.</w:t>
      </w:r>
      <w:r>
        <w:rPr>
          <w:rFonts w:ascii="Times New Roman" w:hAnsi="Times New Roman"/>
          <w:sz w:val="20"/>
        </w:rPr>
        <w:t xml:space="preserve"> Pursuant to a recommendation promulgated by the Committee on Uniform Security Identification Procedures, the Company has caused CUSIP and ISIN numbers to be printed on the Securities and has directed the Trustee to use CUSIP and ISIN numbers in notices of repurchase as a convenience to Holders. No representation is made as to the accuracy of such numbers either as printed on the Securities or as contained in any notice of repurchase and reliance may be placed only on the other identification numbers placed thereon. </w:t>
      </w:r>
    </w:p>
    <w:p>
      <w:pPr>
        <w:pStyle w:val="TextBody"/>
        <w:bidi w:val="0"/>
        <w:spacing w:before="120" w:after="0"/>
        <w:jc w:val="left"/>
        <w:rPr>
          <w:rFonts w:ascii="Times New Roman" w:hAnsi="Times New Roman"/>
          <w:sz w:val="20"/>
        </w:rPr>
      </w:pPr>
      <w:r>
        <w:rPr>
          <w:rFonts w:ascii="Times New Roman" w:hAnsi="Times New Roman"/>
          <w:b/>
          <w:sz w:val="20"/>
        </w:rPr>
        <w:t xml:space="preserve">18. </w:t>
      </w:r>
      <w:r>
        <w:rPr>
          <w:rFonts w:ascii="Times New Roman" w:hAnsi="Times New Roman"/>
          <w:b/>
          <w:sz w:val="20"/>
          <w:u w:val="single"/>
        </w:rPr>
        <w:t>Copies</w:t>
      </w:r>
      <w:r>
        <w:rPr>
          <w:rFonts w:ascii="Times New Roman" w:hAnsi="Times New Roman"/>
          <w:b/>
          <w:sz w:val="20"/>
        </w:rPr>
        <w:t>.</w:t>
      </w:r>
      <w:r>
        <w:rPr>
          <w:rFonts w:ascii="Times New Roman" w:hAnsi="Times New Roman"/>
          <w:sz w:val="20"/>
        </w:rPr>
        <w:t xml:space="preserve"> The Company will furnish to any Holder upon written request and without charge a copy of the Indenture and the applicable Authorizing Resolution or supplemental indenture. Requests may be made to: Dianthus Therapeutics, Inc., [ ], 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If you the Holder want to assign this Security, fill in the form below: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Security to (insert assignee’s social security or tax ID number)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center"/>
              <w:rPr/>
            </w:pPr>
            <w:r>
              <w:rPr/>
              <w:t>(Print or type assignee’s name, address, and 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agent to transfer this Security on the books of the Company. The agent may substitute another to act for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3"/>
        <w:gridCol w:w="4871"/>
      </w:tblGrid>
      <w:tr>
        <w:trPr/>
        <w:tc>
          <w:tcPr>
            <w:tcW w:w="521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1" w:type="dxa"/>
            <w:tcBorders/>
          </w:tcPr>
          <w:p>
            <w:pPr>
              <w:pStyle w:val="TableContents"/>
              <w:bidi w:val="0"/>
              <w:spacing w:before="0" w:after="283"/>
              <w:jc w:val="left"/>
              <w:rPr/>
            </w:pPr>
            <w:r>
              <w:rPr/>
              <w:t>Date:</w:t>
            </w:r>
          </w:p>
        </w:tc>
        <w:tc>
          <w:tcPr>
            <w:tcW w:w="123" w:type="dxa"/>
            <w:tcBorders/>
            <w:vAlign w:val="bottom"/>
          </w:tcPr>
          <w:p>
            <w:pPr>
              <w:pStyle w:val="TableContents"/>
              <w:bidi w:val="0"/>
              <w:spacing w:before="0" w:after="283"/>
              <w:jc w:val="left"/>
              <w:rPr/>
            </w:pPr>
            <w:r>
              <w:rPr/>
              <w:t>  </w:t>
            </w:r>
          </w:p>
        </w:tc>
        <w:tc>
          <w:tcPr>
            <w:tcW w:w="4871" w:type="dxa"/>
            <w:tcBorders/>
          </w:tcPr>
          <w:p>
            <w:pPr>
              <w:pStyle w:val="TableContents"/>
              <w:pBdr>
                <w:bottom w:val="single" w:sz="2" w:space="1" w:color="000000"/>
              </w:pBdr>
              <w:bidi w:val="0"/>
              <w:spacing w:before="0" w:after="20"/>
              <w:jc w:val="left"/>
              <w:rPr/>
            </w:pPr>
            <w:r>
              <w:rPr/>
              <w:t> </w:t>
            </w:r>
          </w:p>
        </w:tc>
      </w:tr>
      <w:tr>
        <w:trPr/>
        <w:tc>
          <w:tcPr>
            <w:tcW w:w="521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1" w:type="dxa"/>
            <w:tcBorders/>
          </w:tcPr>
          <w:p>
            <w:pPr>
              <w:pStyle w:val="TableContents"/>
              <w:bidi w:val="0"/>
              <w:spacing w:before="0" w:after="0"/>
              <w:jc w:val="left"/>
              <w:rPr>
                <w:rFonts w:ascii="Times New Roman" w:hAnsi="Times New Roman"/>
                <w:sz w:val="20"/>
              </w:rPr>
            </w:pPr>
            <w:r>
              <w:rPr>
                <w:rFonts w:ascii="Times New Roman" w:hAnsi="Times New Roman"/>
                <w:sz w:val="20"/>
              </w:rPr>
              <w:t>Your signature</w:t>
            </w:r>
          </w:p>
          <w:p>
            <w:pPr>
              <w:pStyle w:val="TableContents"/>
              <w:bidi w:val="0"/>
              <w:spacing w:before="0" w:after="20"/>
              <w:jc w:val="left"/>
              <w:rPr>
                <w:rFonts w:ascii="Times New Roman" w:hAnsi="Times New Roman"/>
                <w:sz w:val="20"/>
              </w:rPr>
            </w:pPr>
            <w:r>
              <w:rPr>
                <w:rFonts w:ascii="Times New Roman" w:hAnsi="Times New Roman"/>
                <w:sz w:val="20"/>
              </w:rPr>
              <w:t>(Sign exactly as your name appears on the other side of this Security)</w:t>
            </w:r>
          </w:p>
        </w:tc>
      </w:tr>
      <w:tr>
        <w:trPr/>
        <w:tc>
          <w:tcPr>
            <w:tcW w:w="5211" w:type="dxa"/>
            <w:tcBorders/>
          </w:tcPr>
          <w:p>
            <w:pPr>
              <w:pStyle w:val="TableContents"/>
              <w:bidi w:val="0"/>
              <w:spacing w:before="0" w:after="283"/>
              <w:jc w:val="left"/>
              <w:rPr/>
            </w:pPr>
            <w:r>
              <w:rPr/>
              <w:t>Signature Guarantee:</w:t>
            </w:r>
          </w:p>
        </w:tc>
        <w:tc>
          <w:tcPr>
            <w:tcW w:w="123" w:type="dxa"/>
            <w:tcBorders/>
            <w:vAlign w:val="bottom"/>
          </w:tcPr>
          <w:p>
            <w:pPr>
              <w:pStyle w:val="TableContents"/>
              <w:bidi w:val="0"/>
              <w:spacing w:before="0" w:after="283"/>
              <w:jc w:val="left"/>
              <w:rPr/>
            </w:pPr>
            <w:r>
              <w:rPr/>
              <w:t>  </w:t>
            </w:r>
          </w:p>
        </w:tc>
        <w:tc>
          <w:tcPr>
            <w:tcW w:w="48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TextBody"/>
        <w:bidi w:val="0"/>
        <w:spacing w:before="0" w:after="0"/>
        <w:jc w:val="right"/>
        <w:rPr>
          <w:rFonts w:ascii="Times New Roman" w:hAnsi="Times New Roman"/>
          <w:b/>
          <w:sz w:val="20"/>
        </w:rPr>
      </w:pPr>
      <w:bookmarkStart w:id="32" w:name="d184758dex51.htm"/>
      <w:bookmarkStart w:id="33" w:name="ksd184758dex51"/>
      <w:bookmarkEnd w:id="32"/>
      <w:bookmarkEnd w:id="3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62125"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7621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18, 2026 </w:t>
      </w:r>
    </w:p>
    <w:p>
      <w:pPr>
        <w:pStyle w:val="TextBody"/>
        <w:bidi w:val="0"/>
        <w:spacing w:before="240" w:after="0"/>
        <w:jc w:val="left"/>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7 Times Square, 43rd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Dianthus Therapeutics,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Dianthus Therapeutics, Inc., a Delaware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a Registration Statement on Form S-3 (the “</w:t>
      </w:r>
      <w:r>
        <w:rPr>
          <w:rFonts w:ascii="Times New Roman" w:hAnsi="Times New Roman"/>
          <w:sz w:val="20"/>
          <w:u w:val="single"/>
        </w:rPr>
        <w:t>Registration Statement</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xml:space="preserve">”), relating to the registration under the Securities Act and the proposed issuance and sale from time to time pursuant to Rule 415 under the Securities Act, together or separately and in one or more series (if applicable) of: </w:t>
      </w:r>
    </w:p>
    <w:p>
      <w:pPr>
        <w:pStyle w:val="TextBody"/>
        <w:bidi w:val="0"/>
        <w:spacing w:before="240" w:after="0"/>
        <w:jc w:val="left"/>
        <w:rPr>
          <w:rFonts w:ascii="Times New Roman" w:hAnsi="Times New Roman"/>
          <w:sz w:val="20"/>
        </w:rPr>
      </w:pPr>
      <w:r>
        <w:rPr>
          <w:rFonts w:ascii="Times New Roman" w:hAnsi="Times New Roman"/>
          <w:sz w:val="20"/>
        </w:rPr>
        <w:t>(i) the Company’s debt securities (the “</w:t>
      </w:r>
      <w:r>
        <w:rPr>
          <w:rFonts w:ascii="Times New Roman" w:hAnsi="Times New Roman"/>
          <w:sz w:val="20"/>
          <w:u w:val="single"/>
        </w:rPr>
        <w:t>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shares of the Company’s common stock, par value $0.001 per share (the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(iii) shares of the Company’s preferred stock, par value $0.001 per share (the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(iv) warrants for the purchase of Debt Securities, Common Stock or Preferred Stock (the “</w:t>
      </w:r>
      <w:r>
        <w:rPr>
          <w:rFonts w:ascii="Times New Roman" w:hAnsi="Times New Roman"/>
          <w:sz w:val="20"/>
          <w:u w:val="single"/>
        </w:rPr>
        <w:t>Warrants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(v) units of the Company comprised of any combination of Debt Securities, Common Stock, Preferred Stock or Warrants (the “</w:t>
      </w:r>
      <w:r>
        <w:rPr>
          <w:rFonts w:ascii="Times New Roman" w:hAnsi="Times New Roman"/>
          <w:sz w:val="20"/>
          <w:u w:val="single"/>
        </w:rPr>
        <w:t>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Debt Securities, Common Stock, Preferred Stock, Warrants and Units are collectively referred to herein as the “</w:t>
      </w:r>
      <w:r>
        <w:rPr>
          <w:rFonts w:ascii="Times New Roman" w:hAnsi="Times New Roman"/>
          <w:sz w:val="20"/>
          <w:u w:val="single"/>
        </w:rPr>
        <w:t>Securities</w:t>
      </w:r>
      <w:r>
        <w:rPr>
          <w:rFonts w:ascii="Times New Roman" w:hAnsi="Times New Roman"/>
          <w:sz w:val="20"/>
        </w:rPr>
        <w:t>.” The Debt Securities are to be issued under an indenture substantially in the form attached to the Registration Statement (the “</w:t>
      </w:r>
      <w:r>
        <w:rPr>
          <w:rFonts w:ascii="Times New Roman" w:hAnsi="Times New Roman"/>
          <w:sz w:val="20"/>
          <w:u w:val="single"/>
        </w:rPr>
        <w:t>Base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opinions expressed below, we have examined originals, or copies certified or otherwise identified to our satisfaction as being true and complete copies of the originals, of the form of the Base Indenture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September 18,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assumed without independent investigation that: </w:t>
      </w:r>
    </w:p>
    <w:p>
      <w:pPr>
        <w:pStyle w:val="TextBody"/>
        <w:bidi w:val="0"/>
        <w:spacing w:before="240" w:after="0"/>
        <w:jc w:val="left"/>
        <w:rPr>
          <w:rFonts w:ascii="Times New Roman" w:hAnsi="Times New Roman"/>
          <w:sz w:val="20"/>
        </w:rPr>
      </w:pPr>
      <w:r>
        <w:rPr>
          <w:rFonts w:ascii="Times New Roman" w:hAnsi="Times New Roman"/>
          <w:sz w:val="20"/>
        </w:rPr>
        <w:t>(i) at the time any Securities are sold pursuant to the Registration Statement (the “</w:t>
      </w:r>
      <w:r>
        <w:rPr>
          <w:rFonts w:ascii="Times New Roman" w:hAnsi="Times New Roman"/>
          <w:sz w:val="20"/>
          <w:u w:val="single"/>
        </w:rPr>
        <w:t>Relevant Time</w:t>
      </w:r>
      <w:r>
        <w:rPr>
          <w:rFonts w:ascii="Times New Roman" w:hAnsi="Times New Roman"/>
          <w:sz w:val="20"/>
        </w:rPr>
        <w:t xml:space="preserve">”), the Registration Statement and any supplements and amendments thereto (including post-effective amendments) will be effective and will comply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 at the Relevant Time, a prospectus supplement will have been prepared and filed with the Commission describing the Securities offered thereby and all related documentation and will comply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(iii) all Securities will be issued and sold in the manner stated in the Registration Statement and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(iv) at the Relevant Time, all corporate or other action required to be taken by the Company to duly authorize each proposed issuance of Securities and any related documentation (including (i) the due reservation of any shares of Common Stock or Preferred Stock for issuance upon exercise, conversion or exchange of any Securities for Common Stock or Preferred Stock (a “</w:t>
      </w:r>
      <w:r>
        <w:rPr>
          <w:rFonts w:ascii="Times New Roman" w:hAnsi="Times New Roman"/>
          <w:sz w:val="20"/>
          <w:u w:val="single"/>
        </w:rPr>
        <w:t>Convertible Security</w:t>
      </w:r>
      <w:r>
        <w:rPr>
          <w:rFonts w:ascii="Times New Roman" w:hAnsi="Times New Roman"/>
          <w:sz w:val="20"/>
        </w:rPr>
        <w:t xml:space="preserve">”), and (ii) the execution (in the case of certificated Securities), delivery and performance of the Securities and any related documentation referred to in paragraphs 1 through 5 below) shall have been duly completed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(v) upon issuance of any Common Stock or Preferred Stock, including upon exercise, conversion or exchange of any Convertible Security, the total number of shares of Common Stock or Preferred Stock issued and outstanding will not exceed the total number of shares of Common Stock or Preferred Stock, as applicable, that the Company is then authorized to issue under its certificate of incorporation and other relevant documents; </w:t>
      </w:r>
    </w:p>
    <w:p>
      <w:pPr>
        <w:pStyle w:val="TextBody"/>
        <w:bidi w:val="0"/>
        <w:spacing w:before="240" w:after="0"/>
        <w:jc w:val="left"/>
        <w:rPr>
          <w:rFonts w:ascii="Times New Roman" w:hAnsi="Times New Roman"/>
          <w:sz w:val="20"/>
        </w:rPr>
      </w:pPr>
      <w:r>
        <w:rPr>
          <w:rFonts w:ascii="Times New Roman" w:hAnsi="Times New Roman"/>
          <w:sz w:val="20"/>
        </w:rPr>
        <w:t>(vi) in the case of Debt Securities, at the Relevant Time, the relevant trustee shall have been qualified under the Trust Indenture Act of 1939, as amended (the “</w:t>
      </w:r>
      <w:r>
        <w:rPr>
          <w:rFonts w:ascii="Times New Roman" w:hAnsi="Times New Roman"/>
          <w:sz w:val="20"/>
          <w:u w:val="single"/>
        </w:rPr>
        <w:t>TIA</w:t>
      </w:r>
      <w:r>
        <w:rPr>
          <w:rFonts w:ascii="Times New Roman" w:hAnsi="Times New Roman"/>
          <w:sz w:val="20"/>
        </w:rPr>
        <w:t xml:space="preserve">”), a Statement of Eligibility of the Trustee on Form T-1 shall have been properly filed with the Commission and the relevant Base Indenture shall have been duly executed and delivered by the Company and all other parties thereto and duly qualified under the TIA; </w:t>
      </w:r>
    </w:p>
    <w:p>
      <w:pPr>
        <w:pStyle w:val="TextBody"/>
        <w:bidi w:val="0"/>
        <w:spacing w:before="240" w:after="0"/>
        <w:jc w:val="left"/>
        <w:rPr>
          <w:rFonts w:ascii="Times New Roman" w:hAnsi="Times New Roman"/>
          <w:sz w:val="20"/>
        </w:rPr>
      </w:pPr>
      <w:r>
        <w:rPr>
          <w:rFonts w:ascii="Times New Roman" w:hAnsi="Times New Roman"/>
          <w:sz w:val="20"/>
        </w:rPr>
        <w:t xml:space="preserve">(vii) 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September 18,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and in reliance thereon, and subject to the assumptions, exceptions, qualifications and limitations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Debt Securities,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such Debt Securities have been duly established by supplemental indenture or officers’ certificate in accordance with the terms and conditions of the relevant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any such supplemental indenture has been duly executed and delivered by the Company and the relevant trustee (together with the relevant Base Indenture, the “</w:t>
            </w:r>
            <w:r>
              <w:rPr>
                <w:rFonts w:ascii="Times New Roman" w:hAnsi="Times New Roman"/>
                <w:sz w:val="20"/>
                <w:u w:val="single"/>
              </w:rPr>
              <w:t>Indenture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 </w:t>
            </w:r>
          </w:p>
        </w:tc>
      </w:tr>
    </w:tbl>
    <w:p>
      <w:pPr>
        <w:pStyle w:val="TextBody"/>
        <w:bidi w:val="0"/>
        <w:spacing w:before="120" w:after="0"/>
        <w:jc w:val="left"/>
        <w:rPr/>
      </w:pPr>
      <w:r>
        <w:rPr/>
        <w:t> </w:t>
      </w:r>
      <w:r>
        <w:rPr>
          <w:rFonts w:ascii="Times New Roman" w:hAnsi="Times New Roman"/>
          <w:sz w:val="20"/>
        </w:rPr>
        <w:t xml:space="preserve">such Debt Securities will be legal, valid and binding obligations of the Company, enforceable against the Company in accordance with their respective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shares of Preferred Stock,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designations relating to such Preferred Stock has been duly executed and filed with the Office of the Secretary of State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shares have been issued either (i) in accordance with the applicable definitive purchase, underwriting or similar agreement and for the consideration therefor provided for therein, or (ii) upon exercise, conversion or exchange of any Convertible Security and for any additional consideration specified in such Convertible Security or the instrument governing such Convertible Security providing for such conversion or exercise, which consideration (including any consideration paid for such Convertible Security), on a per-share basis, shall in either event not be less than the par value of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Convertible Security was previously validly issued and is fully paid and non-assessable (in the case of an equity Security) or is a legal, valid and binding obligation of the Company, enforceable against the Company in accordance with its terms,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shares of Preferred Stock will be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September 18,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shares of Common Stock,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shares of Common Stock have been duly executed (in the case of certificated shares) and delivered either (i) in accordance with the applicable definitive purchase, underwriting or similar agreement for the consideration provided for therein, or (ii) upon conversion or exercise of any Convertible Security, in accordance with the terms of such Convertible Security or the instrument governing such Convertible Security providing for such conversion or exercise, and for any additional consideration specified therein, which consideration (including any consideration paid for such Convertible Security), on a per-share basis, shall in either event not be less than the par value of the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Convertible Security was previously validly issued and is fully paid and non-assessable (in the case of an equity Security) or is a legal, valid and binding obligation of the Company, enforceable against the Company in accordance with its terms, </w:t>
            </w:r>
          </w:p>
        </w:tc>
      </w:tr>
    </w:tbl>
    <w:p>
      <w:pPr>
        <w:pStyle w:val="TextBody"/>
        <w:bidi w:val="0"/>
        <w:spacing w:before="120" w:after="0"/>
        <w:jc w:val="left"/>
        <w:rPr/>
      </w:pPr>
      <w:r>
        <w:rPr/>
        <w:t> </w:t>
      </w:r>
      <w:r>
        <w:rPr>
          <w:rFonts w:ascii="Times New Roman" w:hAnsi="Times New Roman"/>
          <w:sz w:val="20"/>
        </w:rPr>
        <w:t xml:space="preserve">such shares of Common Stock will be validly issued, fully paid and non-assessable.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Warrants,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agreement relating to such Warrants (the “</w:t>
            </w:r>
            <w:r>
              <w:rPr>
                <w:rFonts w:ascii="Times New Roman" w:hAnsi="Times New Roman"/>
                <w:sz w:val="20"/>
                <w:u w:val="single"/>
              </w:rPr>
              <w:t>Warrant Agreement</w:t>
            </w:r>
            <w:r>
              <w:rPr>
                <w:rFonts w:ascii="Times New Roman" w:hAnsi="Times New Roman"/>
                <w:sz w:val="20"/>
              </w:rPr>
              <w:t xml:space="preserve">”), if any, has been duly executed and delivered by the Company and each other party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Warrants have been established in accordance with the Warrant Agreement, if any, and the applicable definitive purchase, underwriting or similar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have been duly executed (in the case of certificated Warrants) and delivered in accordance with the Warrant Agreement, if any, and the applicable definitive purchase, underwriting or similar agreement for the consideration provided for therein, </w:t>
            </w:r>
          </w:p>
        </w:tc>
      </w:tr>
    </w:tbl>
    <w:p>
      <w:pPr>
        <w:pStyle w:val="TextBody"/>
        <w:bidi w:val="0"/>
        <w:spacing w:before="120" w:after="0"/>
        <w:jc w:val="left"/>
        <w:rPr/>
      </w:pPr>
      <w:r>
        <w:rPr/>
        <w:t> </w:t>
      </w:r>
      <w:r>
        <w:rPr>
          <w:rFonts w:ascii="Times New Roman" w:hAnsi="Times New Roman"/>
          <w:sz w:val="20"/>
        </w:rPr>
        <w:t xml:space="preserve">such Warrants will be legal, valid and binding obligations of the Company, enforceable against the Company in accordance with their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Units,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the unit agreement relating to the Units (the “</w:t>
            </w:r>
            <w:r>
              <w:rPr>
                <w:rFonts w:ascii="Times New Roman" w:hAnsi="Times New Roman"/>
                <w:sz w:val="20"/>
                <w:u w:val="single"/>
              </w:rPr>
              <w:t>Unit Agreement</w:t>
            </w:r>
            <w:r>
              <w:rPr>
                <w:rFonts w:ascii="Times New Roman" w:hAnsi="Times New Roman"/>
                <w:sz w:val="20"/>
              </w:rPr>
              <w:t xml:space="preserve">”), if any, has been duly executed and delivered by the Company and each other party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have been duly established in accordance with the Unit Agreement, if any, and the applicable definitive purchase, underwriting or similar agreement, and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September 18,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Units have been duly executed (in the case of certificated Units) and delivered in accordance with the Unit Agreement, if any, and the applicable definitive purchase, underwriting or similar agreement for the consideration provided for therein, </w:t>
            </w:r>
          </w:p>
        </w:tc>
      </w:tr>
    </w:tbl>
    <w:p>
      <w:pPr>
        <w:pStyle w:val="TextBody"/>
        <w:bidi w:val="0"/>
        <w:spacing w:before="120" w:after="0"/>
        <w:jc w:val="left"/>
        <w:rPr/>
      </w:pPr>
      <w:r>
        <w:rPr/>
        <w:t> </w:t>
      </w:r>
      <w:r>
        <w:rPr>
          <w:rFonts w:ascii="Times New Roman" w:hAnsi="Times New Roman"/>
          <w:sz w:val="20"/>
        </w:rPr>
        <w:t xml:space="preserve">the Units will be legal,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exceptions, qualifications, limitations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A. We render no opinion herein as to matters involving the laws of any jurisdiction other than the State of New York and the United States of America and, for purposes of paragraphs 2 and 3 above, the Delaware General Corporation Law. We are not admitted to practice in the State of Delaware; however, we are generally familiar with the Delaware General Corporation Law as currently in effect and have made such inquiries as we consider necessary to render the opinions contained in paragraphs 2 and 3 above. This opinion is limited to the effect of the current state of the laws of the State of New York and the United States of America and, to the limited extent set forth above, the laws of the State of Delaware and the facts as they currently exist. We assume no obligation to revise or supplement this opinion in the event of future changes in such laws or the interpretations thereof or such facts. </w:t>
      </w:r>
    </w:p>
    <w:p>
      <w:pPr>
        <w:pStyle w:val="TextBody"/>
        <w:bidi w:val="0"/>
        <w:spacing w:before="240" w:after="0"/>
        <w:jc w:val="left"/>
        <w:rPr>
          <w:rFonts w:ascii="Times New Roman" w:hAnsi="Times New Roman"/>
          <w:sz w:val="20"/>
        </w:rPr>
      </w:pPr>
      <w:r>
        <w:rPr>
          <w:rFonts w:ascii="Times New Roman" w:hAnsi="Times New Roman"/>
          <w:sz w:val="20"/>
        </w:rPr>
        <w:t>B. The opinions above with respect to the Indenture, the Debt Securities, the Warrants, the Warrant Agreement, the Units and the Unit Agreement (collectively, the “</w:t>
      </w:r>
      <w:r>
        <w:rPr>
          <w:rFonts w:ascii="Times New Roman" w:hAnsi="Times New Roman"/>
          <w:sz w:val="20"/>
          <w:u w:val="single"/>
        </w:rPr>
        <w:t>Documents</w:t>
      </w:r>
      <w:r>
        <w:rPr>
          <w:rFonts w:ascii="Times New Roman" w:hAnsi="Times New Roman"/>
          <w:sz w:val="20"/>
        </w:rPr>
        <w:t xml:space="preser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C. 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 or due to the negligence or willful misconduct of the indemnified party; (iii) any provision in any Document waiving the right to object to venue in any court; (iv) any agreement to submit to the jurisdiction of any Federal court; (v) any waiver of the right to jury trial; or (vi) any provision to the effect that every right or remedy is cumulative and may be exercised in addition to any other right or remedy or that the election of some particular remedy does not preclude recourse to one or more others.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relevant to our opinions in paragraphs 4 and 5 and not covered by our opinions in paragraphs 1, 2 or 3, we have assumed that any securities underlying, comprising or issuable upon exchange, conversion or exercise of any Warrants or Units are validly issued, fully paid and non-assessable (in the case of an equity security) or a legal, valid and binding obligation of the issuer thereof, enforceable against such issuer in accordance with its terms.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September 18, 2026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p>
      <w:pPr>
        <w:pStyle w:val="TextBody"/>
        <w:bidi w:val="0"/>
        <w:spacing w:before="0" w:after="0"/>
        <w:jc w:val="right"/>
        <w:rPr>
          <w:rFonts w:ascii="Times New Roman" w:hAnsi="Times New Roman"/>
          <w:b/>
          <w:sz w:val="20"/>
        </w:rPr>
      </w:pPr>
      <w:bookmarkStart w:id="34" w:name="d184758dex52.htm"/>
      <w:bookmarkStart w:id="35" w:name="ksd184758dex52"/>
      <w:bookmarkEnd w:id="34"/>
      <w:bookmarkEnd w:id="35"/>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6212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17621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18, 2026 </w:t>
      </w:r>
    </w:p>
    <w:p>
      <w:pPr>
        <w:pStyle w:val="TextBody"/>
        <w:bidi w:val="0"/>
        <w:spacing w:before="240" w:after="0"/>
        <w:jc w:val="left"/>
        <w:rPr>
          <w:rFonts w:ascii="Times New Roman" w:hAnsi="Times New Roman"/>
          <w:sz w:val="20"/>
        </w:rPr>
      </w:pPr>
      <w:r>
        <w:rPr>
          <w:rFonts w:ascii="Times New Roman" w:hAnsi="Times New Roman"/>
          <w:sz w:val="20"/>
        </w:rPr>
        <w:t xml:space="preserve">Dianthus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7 Times Square, 43rd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Dianthus Therapeutics,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examined the Registration Statement on Form S-3 (the “</w:t>
      </w:r>
      <w:r>
        <w:rPr>
          <w:rFonts w:ascii="Times New Roman" w:hAnsi="Times New Roman"/>
          <w:sz w:val="20"/>
          <w:u w:val="single"/>
        </w:rPr>
        <w:t>Registration Statement</w:t>
      </w:r>
      <w:r>
        <w:rPr>
          <w:rFonts w:ascii="Times New Roman" w:hAnsi="Times New Roman"/>
          <w:sz w:val="20"/>
        </w:rPr>
        <w:t>”) of Dianthus Therapeutics, Inc., a Delaware corporation (the “Company”), filed with the Securities and Exchange Commission (the “</w:t>
      </w:r>
      <w:r>
        <w:rPr>
          <w:rFonts w:ascii="Times New Roman" w:hAnsi="Times New Roman"/>
          <w:sz w:val="20"/>
          <w:u w:val="single"/>
        </w:rPr>
        <w:t>Commission</w:t>
      </w:r>
      <w:r>
        <w:rPr>
          <w:rFonts w:ascii="Times New Roman" w:hAnsi="Times New Roman"/>
          <w:sz w:val="20"/>
        </w:rPr>
        <w:t>”) pursuant to the Securities Act of 1933, as amended (the “</w:t>
      </w:r>
      <w:r>
        <w:rPr>
          <w:rFonts w:ascii="Times New Roman" w:hAnsi="Times New Roman"/>
          <w:sz w:val="20"/>
          <w:u w:val="single"/>
        </w:rPr>
        <w:t>Securities Act</w:t>
      </w:r>
      <w:r>
        <w:rPr>
          <w:rFonts w:ascii="Times New Roman" w:hAnsi="Times New Roman"/>
          <w:sz w:val="20"/>
        </w:rPr>
        <w:t>”), and the prospectus supplement thereto dated September 18, 2026 (the “</w:t>
      </w:r>
      <w:r>
        <w:rPr>
          <w:rFonts w:ascii="Times New Roman" w:hAnsi="Times New Roman"/>
          <w:sz w:val="20"/>
          <w:u w:val="single"/>
        </w:rPr>
        <w:t>Prospectus Supplement</w:t>
      </w:r>
      <w:r>
        <w:rPr>
          <w:rFonts w:ascii="Times New Roman" w:hAnsi="Times New Roman"/>
          <w:sz w:val="20"/>
        </w:rPr>
        <w:t>”), in connection with the offering by the Company of up to $500,000,000 of the Company’s common stock, par value $0.001 per share (the “</w:t>
      </w:r>
      <w:r>
        <w:rPr>
          <w:rFonts w:ascii="Times New Roman" w:hAnsi="Times New Roman"/>
          <w:sz w:val="20"/>
          <w:u w:val="single"/>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 expressed below, we have examined originals, or copies certified or otherwise identified to our satisfaction as being true and complete copies of the originals, of such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We have further assumed that all offers and sales of the Shares will comply with the minimum offering price and pricing formula set forth in the authorization of the offering and sale of the Shares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exceptions, qualifications and limitations set forth herein, we are of the opinion that the Shares, when issued against payment therefor as set forth in the Registration Statement and the Prospectus Supplement thereto,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We consent to the filing of this opinion as an exhibit to the Registration Statement, and we further consent to the use of our name under the caption “</w:t>
      </w:r>
      <w:r>
        <w:rPr>
          <w:rFonts w:ascii="Times New Roman" w:hAnsi="Times New Roman"/>
          <w:sz w:val="20"/>
          <w:u w:val="single"/>
        </w:rPr>
        <w:t>Legal Matters</w:t>
      </w:r>
      <w:r>
        <w:rPr>
          <w:rFonts w:ascii="Times New Roman" w:hAnsi="Times New Roman"/>
          <w:sz w:val="20"/>
        </w:rPr>
        <w:t xml:space="preserve">” in the Registration Statement and the Prospectus Supplement. In giving these consents, we do not thereby admit that we are within the category of persons whose consent is required under Section 7 of the Securities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p>
      <w:pPr>
        <w:pStyle w:val="TextBody"/>
        <w:bidi w:val="0"/>
        <w:spacing w:before="0" w:after="0"/>
        <w:jc w:val="right"/>
        <w:rPr>
          <w:rFonts w:ascii="Times New Roman" w:hAnsi="Times New Roman"/>
          <w:b/>
          <w:sz w:val="20"/>
        </w:rPr>
      </w:pPr>
      <w:bookmarkStart w:id="36" w:name="d184758dex231.htm"/>
      <w:bookmarkStart w:id="37" w:name="ksd184758dex231"/>
      <w:bookmarkEnd w:id="36"/>
      <w:bookmarkEnd w:id="37"/>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8, 2026 relating to the financial statements of Dianthus Therapeutics, Inc., appearing in the Annual Report on Form 10-K of Dianthus Therapeutics, Inc.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Morristown, New Jersey </w:t>
      </w:r>
    </w:p>
    <w:p>
      <w:pPr>
        <w:pStyle w:val="TextBody"/>
        <w:bidi w:val="0"/>
        <w:spacing w:before="240" w:after="0"/>
        <w:jc w:val="left"/>
        <w:rPr>
          <w:rFonts w:ascii="Times New Roman" w:hAnsi="Times New Roman"/>
          <w:sz w:val="20"/>
        </w:rPr>
      </w:pPr>
      <w:r>
        <w:rPr>
          <w:rFonts w:ascii="Times New Roman" w:hAnsi="Times New Roman"/>
          <w:sz w:val="20"/>
        </w:rPr>
        <w:t xml:space="preserve">September 18, 2026 </w:t>
      </w:r>
    </w:p>
    <w:p>
      <w:pPr>
        <w:pStyle w:val="Normal"/>
        <w:bidi w:val="0"/>
        <w:spacing w:before="0" w:after="0"/>
        <w:jc w:val="left"/>
        <w:rPr>
          <w:sz w:val="4"/>
          <w:szCs w:val="4"/>
        </w:rPr>
      </w:pPr>
      <w:r>
        <w:rPr>
          <w:sz w:val="4"/>
          <w:szCs w:val="4"/>
        </w:rPr>
      </w:r>
      <w:bookmarkStart w:id="38" w:name="d184758dexfilingfees.htm"/>
      <w:bookmarkStart w:id="39" w:name="ksd184758dexfilingfees"/>
      <w:bookmarkStart w:id="40" w:name="d184758dexfilingfees.htm"/>
      <w:bookmarkStart w:id="41" w:name="ksd184758dexfilingfees"/>
      <w:bookmarkEnd w:id="40"/>
      <w:bookmarkEnd w:id="41"/>
      <w:r>
        <w:br w:type="page"/>
      </w:r>
    </w:p>
    <w:tbl>
      <w:tblPr>
        <w:tblW w:w="3695" w:type="dxa"/>
        <w:jc w:val="left"/>
        <w:tblInd w:w="0" w:type="dxa"/>
        <w:tblLayout w:type="fixed"/>
        <w:tblCellMar>
          <w:top w:w="28" w:type="dxa"/>
          <w:left w:w="28" w:type="dxa"/>
          <w:bottom w:w="28" w:type="dxa"/>
          <w:right w:w="28" w:type="dxa"/>
        </w:tblCellMar>
      </w:tblPr>
      <w:tblGrid>
        <w:gridCol w:w="3541"/>
        <w:gridCol w:w="154"/>
      </w:tblGrid>
      <w:tr>
        <w:trPr/>
        <w:tc>
          <w:tcPr>
            <w:tcW w:w="369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54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b/>
              </w:rPr>
            </w:pPr>
            <w:r>
              <w:rPr>
                <w:b/>
              </w:rPr>
              <w:t xml:space="preserve">Dianthus Therapeutics, Inc. /DE/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8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$ 69,050.00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2" w:name="MaxAggtOfferingPrice"/>
            <w:bookmarkEnd w:id="42"/>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3" w:name="TotalFeeAmt"/>
            <w:bookmarkEnd w:id="43"/>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TotalPreviouslyPaid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5" w:name="TotalOffsetAmt"/>
            <w:bookmarkEnd w:id="4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6" w:name="NetFeeAmt"/>
            <w:bookmarkEnd w:id="46"/>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322"/>
        <w:gridCol w:w="8684"/>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An indeterminate amount of common stock, preferred stock, debt securities, warrants and/or units is being registered hereunder.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 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 (the "Securities Act").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6" w:type="dxa"/>
            <w:gridSpan w:val="2"/>
            <w:tcBorders/>
            <w:vAlign w:val="center"/>
          </w:tcPr>
          <w:p>
            <w:pPr>
              <w:pStyle w:val="TableContents"/>
              <w:bidi w:val="0"/>
              <w:spacing w:before="0" w:after="283"/>
              <w:jc w:val="left"/>
              <w:rPr/>
            </w:pPr>
            <w:r>
              <w:rPr/>
              <w:t xml:space="preserve">In accordance with Rules 456(b) and 457(r) under the Securities Act, the registrant is deferring payment of the filing fees relating to the securities that are registered and available for sale under this registration statement other than the fees in connection with the $500,000,000 of the registrant's common stock that may be issued and sold from time to time under the Sales Agreement, dated September 18, 2026, with TD Securities (USA) LLC, as sales agent.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90585/000169058526000006/dnth-20251231.htm" TargetMode="External"/><Relationship Id="rId4" Type="http://schemas.openxmlformats.org/officeDocument/2006/relationships/hyperlink" Target="http://www.sec.gov/Archives/edgar/data/../../../ix?doc=/Archives/edgar/data/0001690585/000169058526000012/dnth-20260409.htm" TargetMode="External"/><Relationship Id="rId5" Type="http://schemas.openxmlformats.org/officeDocument/2006/relationships/hyperlink" Target="http://www.sec.gov/Archives/edgar/data/../../../ix?doc=/Archives/edgar/data/0001690585/000169058526000022/dnth-20260331.htm" TargetMode="External"/><Relationship Id="rId6" Type="http://schemas.openxmlformats.org/officeDocument/2006/relationships/hyperlink" Target="http://www.sec.gov/Archives/edgar/data/../../../ix?doc=/Archives/edgar/data/0001690585/000169058526000034/dnth-20260630.htm" TargetMode="External"/><Relationship Id="rId7" Type="http://schemas.openxmlformats.org/officeDocument/2006/relationships/hyperlink" Target="http://www.sec.gov/Archives/edgar/data/../../../ix?doc=/Archives/edgar/data/0001690585/000119312526097555/dnth-20260309.htm" TargetMode="External"/><Relationship Id="rId8" Type="http://schemas.openxmlformats.org/officeDocument/2006/relationships/hyperlink" Target="http://www.sec.gov/Archives/edgar/data/../../../ix?doc=/Archives/edgar/data/0001690585/000119312526103053/d43448d8k.htm" TargetMode="External"/><Relationship Id="rId9" Type="http://schemas.openxmlformats.org/officeDocument/2006/relationships/hyperlink" Target="http://www.sec.gov/Archives/edgar/data/../../../ix?doc=/Archives/edgar/data/0001690585/000169058526000010/dnth-20260326.htm" TargetMode="External"/><Relationship Id="rId10" Type="http://schemas.openxmlformats.org/officeDocument/2006/relationships/hyperlink" Target="http://www.sec.gov/Archives/edgar/data/../../../ix?doc=/Archives/edgar/data/0001690585/000169058526000026/dnth-20260521.htm" TargetMode="External"/><Relationship Id="rId11" Type="http://schemas.openxmlformats.org/officeDocument/2006/relationships/hyperlink" Target="http://www.sec.gov/Archives/edgar/data/../../../ix?doc=/Archives/edgar/data/0001690585/000169058526000029/dnth-20260612.htm" TargetMode="External"/><Relationship Id="rId12" Type="http://schemas.openxmlformats.org/officeDocument/2006/relationships/hyperlink" Target="http://www.sec.gov/Archives/edgar/data/../../../ix?doc=/Archives/edgar/data/0001690585/000095017024034681/dnth-20231231.htm" TargetMode="External"/><Relationship Id="rId13" Type="http://schemas.openxmlformats.org/officeDocument/2006/relationships/image" Target="media/image1.jpeg"/><Relationship Id="rId14" Type="http://schemas.openxmlformats.org/officeDocument/2006/relationships/hyperlink" Target="http://www.sec.gov/Archives/edgar/data/../../../ix?doc=/Archives/edgar/data/0001690585/000169058526000006/dnth-20251231.htm" TargetMode="External"/><Relationship Id="rId15" Type="http://schemas.openxmlformats.org/officeDocument/2006/relationships/hyperlink" Target="http://www.sec.gov/Archives/edgar/data/../../../ix?doc=/Archives/edgar/data/0001690585/000169058526000012/dnth-20260409.htm" TargetMode="External"/><Relationship Id="rId16" Type="http://schemas.openxmlformats.org/officeDocument/2006/relationships/hyperlink" Target="http://www.sec.gov/Archives/edgar/data/../../../ix?doc=/Archives/edgar/data/0001690585/000169058526000022/dnth-20260331.htm" TargetMode="External"/><Relationship Id="rId17" Type="http://schemas.openxmlformats.org/officeDocument/2006/relationships/hyperlink" Target="http://www.sec.gov/Archives/edgar/data/../../../ix?doc=/Archives/edgar/data/0001690585/000169058526000034/dnth-20260630.htm" TargetMode="External"/><Relationship Id="rId18" Type="http://schemas.openxmlformats.org/officeDocument/2006/relationships/hyperlink" Target="http://www.sec.gov/Archives/edgar/data/../../../ix?doc=/Archives/edgar/data/0001690585/000119312526097555/dnth-20260309.htm" TargetMode="External"/><Relationship Id="rId19" Type="http://schemas.openxmlformats.org/officeDocument/2006/relationships/hyperlink" Target="http://www.sec.gov/Archives/edgar/data/../../../ix?doc=/Archives/edgar/data/0001690585/000119312526103053/d43448d8k.htm" TargetMode="External"/><Relationship Id="rId20" Type="http://schemas.openxmlformats.org/officeDocument/2006/relationships/hyperlink" Target="http://www.sec.gov/Archives/edgar/data/../../../ix?doc=/Archives/edgar/data/0001690585/000169058526000010/dnth-20260326.htm" TargetMode="External"/><Relationship Id="rId21" Type="http://schemas.openxmlformats.org/officeDocument/2006/relationships/hyperlink" Target="http://www.sec.gov/Archives/edgar/data/../../../ix?doc=/Archives/edgar/data/0001690585/000169058526000026/dnth-20260521.htm" TargetMode="External"/><Relationship Id="rId22" Type="http://schemas.openxmlformats.org/officeDocument/2006/relationships/hyperlink" Target="http://www.sec.gov/Archives/edgar/data/../../../ix?doc=/Archives/edgar/data/0001690585/000169058526000029/dnth-20260612.htm" TargetMode="External"/><Relationship Id="rId23" Type="http://schemas.openxmlformats.org/officeDocument/2006/relationships/hyperlink" Target="http://www.sec.gov/Archives/edgar/data/../../../ix?doc=/Archives/edgar/data/0001690585/000095017024034681/dnth-20231231.htm" TargetMode="External"/><Relationship Id="rId24" Type="http://schemas.openxmlformats.org/officeDocument/2006/relationships/image" Target="media/image1.jpeg"/><Relationship Id="rId25" Type="http://schemas.openxmlformats.org/officeDocument/2006/relationships/hyperlink" Target="http://www.sec.gov/Archives/edgar/data/1690585/000119312523233448/d550960dex31.htm" TargetMode="External"/><Relationship Id="rId26" Type="http://schemas.openxmlformats.org/officeDocument/2006/relationships/hyperlink" Target="http://www.sec.gov/Archives/edgar/data/1690585/000095017024034681/dnth-ex3_2.htm" TargetMode="External"/><Relationship Id="rId27" Type="http://schemas.openxmlformats.org/officeDocument/2006/relationships/hyperlink" Target="http://www.sec.gov/Archives/edgar/data/1690585/000119312523233448/d550960dex41.htm" TargetMode="External"/><Relationship Id="rId28" Type="http://schemas.openxmlformats.org/officeDocument/2006/relationships/hyperlink" Target="http://www.sec.gov/Archives/edgar/data/1690585/000119312523233448/d550960dex42.htm" TargetMode="External"/><Relationship Id="rId29" Type="http://schemas.openxmlformats.org/officeDocument/2006/relationships/hyperlink" Target="http://www.sec.gov/Archives/edgar/data/1690585/000119312524011681/d699582dex41.htm" TargetMode="External"/><Relationship Id="rId30" Type="http://schemas.openxmlformats.org/officeDocument/2006/relationships/hyperlink" Target="http://www.sec.gov/Archives/edgar/data/1690585/000119312524011681/d699582dex102.htm" TargetMode="External"/><Relationship Id="rId31" Type="http://schemas.openxmlformats.org/officeDocument/2006/relationships/hyperlink" Target="http://www.sec.gov/Archives/edgar/data/1690585/000119312525200715/d96557dex41.htm" TargetMode="External"/><Relationship Id="rId32" Type="http://schemas.openxmlformats.org/officeDocument/2006/relationships/hyperlink" Target="http://www.sec.gov/Archives/edgar/data/1690585/000119312526103053/d43448dex41.htm" TargetMode="External"/><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70359</Words>
  <Characters>367426</Characters>
  <CharactersWithSpaces>438963</CharactersWithSpaces>
  <Paragraphs>4253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