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DIANTHUS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001-38541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81-0724163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 Times Square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43rd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929) 999-4055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40" w:hanging="46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DNTH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tab/>
        <w:t>Submission of Matters to a Vote of Security Holders.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21, 2026, the Company held its Annual Meeting of Stockholders (the “Annual Meeting”) to consider and vote on the three proposals set forth below, each of which is described in greater detail in the Company’s Definitive Proxy Statement on Schedule 14A, which was filed with the U.S. Securities and Exchange Commission on April 9, 2026. The final voting results for the Annual Meeting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 Directors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Sujay Kango, Anne McGeorge and Jonathan Violin, Ph.D. as Class II directors, to serve until the 2029 annual meeting of stockholders and until their successors have been duly elected and qualified, or until their earlier death, resignation or removal. The votes cast at the Annual Meeting vote with respect to the election of each Class II director were as follows: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Sujay Kango</w:t>
            </w:r>
          </w:p>
        </w:tc>
        <w:tc>
          <w:tcPr>
            <w:tcW w:w="10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42,739,315</w:t>
            </w:r>
          </w:p>
        </w:tc>
        <w:tc>
          <w:tcPr>
            <w:tcW w:w="12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479,199</w:t>
            </w:r>
          </w:p>
        </w:tc>
        <w:tc>
          <w:tcPr>
            <w:tcW w:w="100" w:type="dxa"/>
            <w:vAlign w:val="bottom"/>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3,585,554</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Anne McGeorge</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34,814,377</w:t>
            </w:r>
          </w:p>
        </w:tc>
        <w:tc>
          <w:tcPr>
            <w:tcW w:w="2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8,404,137</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3,585,554</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Violin, Ph.D</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42,799,946</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418,568</w:t>
            </w:r>
          </w:p>
        </w:tc>
        <w:tc>
          <w:tcPr>
            <w:tcW w:w="2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3,585,554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Advisory Vote on Executive Compensation</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paid to the Company’s named executive officers. The results of the stockholders’ vote with respect to Proposal 2 were as follows:</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41,004,507</w:t>
            </w:r>
          </w:p>
        </w:tc>
        <w:tc>
          <w:tcPr>
            <w:tcW w:w="23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1,713,043</w:t>
            </w:r>
          </w:p>
        </w:tc>
        <w:tc>
          <w:tcPr>
            <w:tcW w:w="2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500,964</w:t>
            </w:r>
          </w:p>
        </w:tc>
        <w:tc>
          <w:tcPr>
            <w:tcW w:w="23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3,585,554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Ratification of Appointment of Independent Registered Public Accounting Firm</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 The results of the stockholders’ vote with respect to such ratification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0" w:type="dxa"/>
            <w:vAlign w:val="bottom"/>
          </w:tcPr>
          <w:p>
            <w:pPr>
              <w:spacing w:after="0"/>
              <w:rPr>
                <w:sz w:val="20"/>
                <w:szCs w:val="20"/>
                <w:color w:val="auto"/>
              </w:rPr>
            </w:pPr>
          </w:p>
        </w:tc>
        <w:tc>
          <w:tcPr>
            <w:tcW w:w="2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960" w:type="dxa"/>
            <w:vAlign w:val="bottom"/>
          </w:tcPr>
          <w:p>
            <w:pPr>
              <w:spacing w:after="0"/>
              <w:rPr>
                <w:sz w:val="20"/>
                <w:szCs w:val="20"/>
                <w:color w:val="auto"/>
              </w:rPr>
            </w:pPr>
          </w:p>
        </w:tc>
      </w:tr>
      <w:tr>
        <w:trPr>
          <w:trHeight w:val="210"/>
        </w:trPr>
        <w:tc>
          <w:tcPr>
            <w:tcW w:w="960" w:type="dxa"/>
            <w:vAlign w:val="bottom"/>
          </w:tcPr>
          <w:p>
            <w:pPr>
              <w:spacing w:after="0"/>
              <w:rPr>
                <w:sz w:val="18"/>
                <w:szCs w:val="18"/>
                <w:color w:val="auto"/>
              </w:rPr>
            </w:pPr>
          </w:p>
        </w:tc>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46,298,319</w:t>
            </w:r>
          </w:p>
        </w:tc>
        <w:tc>
          <w:tcPr>
            <w:tcW w:w="23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5,279</w:t>
            </w:r>
          </w:p>
        </w:tc>
        <w:tc>
          <w:tcPr>
            <w:tcW w:w="2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500,471</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r>
      <w:tr>
        <w:trPr>
          <w:trHeight w:val="1843"/>
        </w:trPr>
        <w:tc>
          <w:tcPr>
            <w:tcW w:w="9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DIANTHUS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color w:val="auto"/>
        </w:rPr>
        <w:t>By:</w:t>
        <w:tab/>
        <w:t>/s/ Adam M. Veness,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Adam M. Veness, Esq.</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2026-05-22T15:19:38Z</dcterms:created>
  <dcterms:modified xsi:type="dcterms:W3CDTF">2026-05-22T15:19:38Z</dcterms:modified>
</cp:coreProperties>
</file>